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szCs w:val="21"/>
        </w:rPr>
      </w:pPr>
      <w:bookmarkStart w:id="2" w:name="_GoBack"/>
      <w:bookmarkEnd w:id="2"/>
      <w:r>
        <w:rPr>
          <w:rFonts w:hint="eastAsia" w:ascii="宋体" w:hAnsi="宋体"/>
          <w:szCs w:val="21"/>
        </w:rPr>
        <w:t>课程编码：9921</w:t>
      </w:r>
      <w:r>
        <w:rPr>
          <w:rFonts w:ascii="宋体" w:hAnsi="宋体"/>
          <w:szCs w:val="21"/>
        </w:rPr>
        <w:t>5205</w:t>
      </w:r>
    </w:p>
    <w:p>
      <w:pPr>
        <w:rPr>
          <w:rFonts w:ascii="宋体" w:hAnsi="宋体"/>
          <w:szCs w:val="21"/>
        </w:rPr>
      </w:pPr>
      <w:r>
        <w:rPr>
          <w:rFonts w:hint="eastAsia" w:ascii="宋体" w:hAnsi="宋体"/>
          <w:szCs w:val="21"/>
        </w:rPr>
        <w:t>学时/学分：</w:t>
      </w:r>
      <w:r>
        <w:rPr>
          <w:rFonts w:ascii="宋体" w:hAnsi="宋体"/>
          <w:szCs w:val="21"/>
        </w:rPr>
        <w:t>18</w:t>
      </w:r>
      <w:r>
        <w:rPr>
          <w:rFonts w:hint="eastAsia" w:ascii="宋体" w:hAnsi="宋体"/>
          <w:szCs w:val="21"/>
        </w:rPr>
        <w:t>/1</w:t>
      </w:r>
    </w:p>
    <w:p>
      <w:pPr>
        <w:rPr>
          <w:szCs w:val="21"/>
        </w:rPr>
      </w:pPr>
      <w:r>
        <w:rPr>
          <w:rFonts w:hint="eastAsia" w:ascii="宋体" w:hAnsi="宋体"/>
          <w:szCs w:val="21"/>
        </w:rPr>
        <w:t>适用专业：</w:t>
      </w:r>
      <w:r>
        <w:rPr>
          <w:rFonts w:hint="eastAsia" w:ascii="宋体" w:hAnsi="宋体"/>
        </w:rPr>
        <w:t>临床医学类专业</w:t>
      </w:r>
    </w:p>
    <w:p>
      <w:pPr>
        <w:ind w:right="1273" w:rightChars="606"/>
        <w:rPr>
          <w:rFonts w:ascii="宋体" w:hAnsi="宋体"/>
          <w:sz w:val="24"/>
        </w:rPr>
      </w:pPr>
    </w:p>
    <w:p>
      <w:pPr>
        <w:spacing w:line="360" w:lineRule="auto"/>
        <w:jc w:val="center"/>
        <w:rPr>
          <w:rFonts w:eastAsia="黑体"/>
          <w:b/>
          <w:bCs/>
          <w:sz w:val="48"/>
          <w:szCs w:val="48"/>
        </w:rPr>
      </w:pPr>
      <w:r>
        <w:rPr>
          <w:rFonts w:hint="eastAsia" w:ascii="黑体" w:eastAsia="黑体"/>
          <w:b/>
          <w:bCs/>
          <w:sz w:val="48"/>
          <w:szCs w:val="48"/>
        </w:rPr>
        <w:t>医患沟通与技巧</w:t>
      </w:r>
      <w:r>
        <w:rPr>
          <w:rFonts w:ascii="黑体" w:eastAsia="黑体"/>
          <w:b/>
          <w:bCs/>
          <w:sz w:val="48"/>
          <w:szCs w:val="48"/>
        </w:rPr>
        <w:br w:type="textWrapping"/>
      </w:r>
      <w:r>
        <w:rPr>
          <w:rFonts w:eastAsia="黑体"/>
          <w:b/>
          <w:bCs/>
          <w:sz w:val="48"/>
          <w:szCs w:val="48"/>
        </w:rPr>
        <w:t>Doctor Patient Communication and Skills</w:t>
      </w:r>
    </w:p>
    <w:p>
      <w:pPr>
        <w:spacing w:line="360" w:lineRule="auto"/>
        <w:jc w:val="center"/>
        <w:rPr>
          <w:rFonts w:ascii="黑体" w:eastAsia="黑体"/>
          <w:sz w:val="48"/>
          <w:szCs w:val="48"/>
        </w:rPr>
      </w:pPr>
      <w:r>
        <w:rPr>
          <w:rFonts w:hint="eastAsia" w:ascii="黑体" w:eastAsia="黑体"/>
          <w:sz w:val="48"/>
          <w:szCs w:val="48"/>
        </w:rPr>
        <w:t>教学大纲</w:t>
      </w:r>
    </w:p>
    <w:p>
      <w:pPr>
        <w:numPr>
          <w:ilvl w:val="0"/>
          <w:numId w:val="1"/>
        </w:num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教学基本信息</w:t>
      </w:r>
    </w:p>
    <w:p>
      <w:pPr>
        <w:pStyle w:val="11"/>
        <w:numPr>
          <w:ilvl w:val="0"/>
          <w:numId w:val="2"/>
        </w:numPr>
        <w:spacing w:line="360" w:lineRule="auto"/>
        <w:ind w:firstLineChars="0"/>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课程名称：医患沟通与技巧</w:t>
      </w:r>
    </w:p>
    <w:p>
      <w:pPr>
        <w:pStyle w:val="11"/>
        <w:numPr>
          <w:ilvl w:val="0"/>
          <w:numId w:val="2"/>
        </w:numPr>
        <w:spacing w:line="360" w:lineRule="auto"/>
        <w:ind w:firstLineChars="0"/>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课程性质：必修课程</w:t>
      </w:r>
    </w:p>
    <w:p>
      <w:pPr>
        <w:pStyle w:val="11"/>
        <w:numPr>
          <w:ilvl w:val="0"/>
          <w:numId w:val="2"/>
        </w:numPr>
        <w:spacing w:line="360" w:lineRule="auto"/>
        <w:ind w:firstLineChars="0"/>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课程学时：总学时</w:t>
      </w:r>
      <w:r>
        <w:rPr>
          <w:rFonts w:asciiTheme="majorEastAsia" w:hAnsiTheme="majorEastAsia" w:eastAsiaTheme="majorEastAsia"/>
          <w:color w:val="000000" w:themeColor="text1"/>
          <w:sz w:val="24"/>
          <w:szCs w:val="24"/>
          <w14:textFill>
            <w14:solidFill>
              <w14:schemeClr w14:val="tx1"/>
            </w14:solidFill>
          </w14:textFill>
        </w:rPr>
        <w:t>18</w:t>
      </w:r>
      <w:r>
        <w:rPr>
          <w:rFonts w:hint="eastAsia" w:asciiTheme="majorEastAsia" w:hAnsiTheme="majorEastAsia" w:eastAsiaTheme="majorEastAsia"/>
          <w:color w:val="000000" w:themeColor="text1"/>
          <w:sz w:val="24"/>
          <w:szCs w:val="24"/>
          <w14:textFill>
            <w14:solidFill>
              <w14:schemeClr w14:val="tx1"/>
            </w14:solidFill>
          </w14:textFill>
        </w:rPr>
        <w:t>；理论学时12；实验（实践、见习）课学时</w:t>
      </w:r>
      <w:r>
        <w:rPr>
          <w:rFonts w:asciiTheme="majorEastAsia" w:hAnsiTheme="majorEastAsia" w:eastAsiaTheme="majorEastAsia"/>
          <w:color w:val="000000" w:themeColor="text1"/>
          <w:sz w:val="24"/>
          <w:szCs w:val="24"/>
          <w14:textFill>
            <w14:solidFill>
              <w14:schemeClr w14:val="tx1"/>
            </w14:solidFill>
          </w14:textFill>
        </w:rPr>
        <w:t xml:space="preserve">6 </w:t>
      </w:r>
    </w:p>
    <w:p>
      <w:pPr>
        <w:pStyle w:val="11"/>
        <w:numPr>
          <w:ilvl w:val="0"/>
          <w:numId w:val="2"/>
        </w:numPr>
        <w:spacing w:line="360" w:lineRule="auto"/>
        <w:ind w:firstLineChars="0"/>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 xml:space="preserve">学 </w:t>
      </w:r>
      <w:r>
        <w:rPr>
          <w:rFonts w:asciiTheme="majorEastAsia" w:hAnsiTheme="majorEastAsia" w:eastAsiaTheme="majorEastAsia"/>
          <w:color w:val="000000" w:themeColor="text1"/>
          <w:sz w:val="24"/>
          <w:szCs w:val="24"/>
          <w14:textFill>
            <w14:solidFill>
              <w14:schemeClr w14:val="tx1"/>
            </w14:solidFill>
          </w14:textFill>
        </w:rPr>
        <w:t xml:space="preserve">   </w:t>
      </w:r>
      <w:r>
        <w:rPr>
          <w:rFonts w:hint="eastAsia" w:asciiTheme="majorEastAsia" w:hAnsiTheme="majorEastAsia" w:eastAsiaTheme="majorEastAsia"/>
          <w:color w:val="000000" w:themeColor="text1"/>
          <w:sz w:val="24"/>
          <w:szCs w:val="24"/>
          <w14:textFill>
            <w14:solidFill>
              <w14:schemeClr w14:val="tx1"/>
            </w14:solidFill>
          </w14:textFill>
        </w:rPr>
        <w:t>分：1</w:t>
      </w:r>
    </w:p>
    <w:p>
      <w:pPr>
        <w:pStyle w:val="11"/>
        <w:numPr>
          <w:ilvl w:val="0"/>
          <w:numId w:val="2"/>
        </w:numPr>
        <w:spacing w:line="360" w:lineRule="auto"/>
        <w:ind w:firstLineChars="0"/>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教学对象：</w:t>
      </w:r>
      <w:r>
        <w:rPr>
          <w:rFonts w:hint="eastAsia" w:ascii="宋体" w:hAnsi="宋体"/>
          <w:sz w:val="24"/>
        </w:rPr>
        <w:t>临床医学类专业本科生</w:t>
      </w:r>
    </w:p>
    <w:p>
      <w:pPr>
        <w:pStyle w:val="11"/>
        <w:numPr>
          <w:ilvl w:val="0"/>
          <w:numId w:val="2"/>
        </w:numPr>
        <w:spacing w:line="360" w:lineRule="auto"/>
        <w:ind w:firstLineChars="0"/>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开课单位：</w:t>
      </w:r>
      <w:r>
        <w:rPr>
          <w:rFonts w:hint="eastAsia" w:ascii="宋体" w:hAnsi="宋体"/>
          <w:bCs/>
          <w:sz w:val="24"/>
        </w:rPr>
        <w:t>相关临床医学院及教学医院</w:t>
      </w:r>
    </w:p>
    <w:p>
      <w:pPr>
        <w:pStyle w:val="11"/>
        <w:numPr>
          <w:ilvl w:val="0"/>
          <w:numId w:val="1"/>
        </w:numPr>
        <w:spacing w:line="360" w:lineRule="auto"/>
        <w:ind w:firstLineChars="0"/>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课程简介</w:t>
      </w:r>
    </w:p>
    <w:p>
      <w:pPr>
        <w:widowControl/>
        <w:shd w:val="clear" w:color="auto" w:fill="FFFFFF"/>
        <w:spacing w:line="360" w:lineRule="auto"/>
        <w:ind w:firstLine="480" w:firstLineChars="200"/>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近年来，医患关系紧张是一个极为敏感的社会话题，而造成这种状况的重要原因之一就是医患沟通不良。由于医患关系紧张及患者法律维权意识的增强也使医学生的临床实践活动受到了一定的影响，加之学生缺乏医患沟通训练和自信心，真正面对患者时会有不同程度的紧张和胆怯心理，羞于主动与患者及家属打交道，或与患者及家属谈话时生搬硬套书本知识解释病情，有时不计后果的随意发挥，甚至引发了医患矛盾和纠纷，这些都会严重影响临床实习质量，也不利于医学生的健康成长。因此，提高医学生的医患沟通能力和技巧，引导和培养学生建立和谐的医患关系已成为医学教育中一项不可或缺的重要课程。本课程在教学过程中，坚持以医学生为主体的教学思想，从医患沟通的理论基础入手，系统讲授医患沟通的概念、内涵、基本内容、基本要求、主要类型、主要模式、医患沟通的宗旨、医患沟通的原则、医患沟通的意义，语言沟通技巧、非语言沟通技巧、化解冲突的沟通技巧、危急时刻的沟通技巧、与特殊患者的沟通技巧、医患纠纷处理中的沟通技巧、医患沟通中医学生应具有的能力和素质，以及医患沟通的心理学基础、医患沟通的伦理学基础、医患沟通的法律基础等，了解我国医患关系的现状，并在实践环节中有针对性地锻炼和提高与患者沟通的能力和技巧，为日后更好的进行医疗活动打下坚实的基础。</w:t>
      </w:r>
    </w:p>
    <w:p>
      <w:pPr>
        <w:widowControl/>
        <w:shd w:val="clear" w:color="auto" w:fill="FFFFFF"/>
        <w:spacing w:line="360" w:lineRule="auto"/>
        <w:ind w:firstLine="480" w:firstLineChars="200"/>
        <w:jc w:val="left"/>
        <w:rPr>
          <w:rFonts w:asciiTheme="majorEastAsia" w:hAnsiTheme="majorEastAsia" w:eastAsiaTheme="majorEastAsia"/>
          <w:color w:val="000000" w:themeColor="text1"/>
          <w:sz w:val="24"/>
          <w14:textFill>
            <w14:solidFill>
              <w14:schemeClr w14:val="tx1"/>
            </w14:solidFill>
          </w14:textFill>
        </w:rPr>
      </w:pPr>
    </w:p>
    <w:p>
      <w:pPr>
        <w:pStyle w:val="11"/>
        <w:widowControl/>
        <w:numPr>
          <w:ilvl w:val="0"/>
          <w:numId w:val="1"/>
        </w:numPr>
        <w:shd w:val="clear" w:color="auto" w:fill="FFFFFF"/>
        <w:spacing w:line="360" w:lineRule="auto"/>
        <w:ind w:firstLineChars="0"/>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课程目标</w:t>
      </w:r>
    </w:p>
    <w:p>
      <w:pPr>
        <w:widowControl/>
        <w:shd w:val="clear" w:color="auto" w:fill="FFFFFF"/>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1.知识目标：理解和掌握医患沟通的基本概念、基本理论、基本要求和基本方法。</w:t>
      </w:r>
    </w:p>
    <w:p>
      <w:pPr>
        <w:widowControl/>
        <w:shd w:val="clear" w:color="auto" w:fill="FFFFFF"/>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2.能力目标：基本掌握进行有效医患沟通的能力和技巧。</w:t>
      </w:r>
    </w:p>
    <w:p>
      <w:pPr>
        <w:widowControl/>
        <w:shd w:val="clear" w:color="auto" w:fill="FFFFFF"/>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3.素质目标：良好的职业修养、扎实的专业知识、娴熟的沟通技巧和必要的法律常识。</w:t>
      </w:r>
    </w:p>
    <w:p>
      <w:pPr>
        <w:spacing w:line="360" w:lineRule="auto"/>
        <w:rPr>
          <w:rFonts w:asciiTheme="majorEastAsia" w:hAnsiTheme="majorEastAsia" w:eastAsiaTheme="majorEastAsia"/>
          <w:color w:val="000000" w:themeColor="text1"/>
          <w:sz w:val="28"/>
          <w:szCs w:val="28"/>
          <w14:textFill>
            <w14:solidFill>
              <w14:schemeClr w14:val="tx1"/>
            </w14:solidFill>
          </w14:textFill>
        </w:rPr>
      </w:pPr>
      <w:r>
        <w:rPr>
          <w:rFonts w:hint="eastAsia" w:asciiTheme="majorEastAsia" w:hAnsiTheme="majorEastAsia" w:eastAsiaTheme="majorEastAsia"/>
          <w:color w:val="000000" w:themeColor="text1"/>
          <w:sz w:val="28"/>
          <w:szCs w:val="28"/>
          <w14:textFill>
            <w14:solidFill>
              <w14:schemeClr w14:val="tx1"/>
            </w14:solidFill>
          </w14:textFill>
        </w:rPr>
        <w:t>四</w:t>
      </w:r>
      <w:r>
        <w:rPr>
          <w:rFonts w:hint="eastAsia" w:ascii="黑体" w:hAnsi="黑体" w:eastAsia="黑体"/>
          <w:color w:val="000000" w:themeColor="text1"/>
          <w:sz w:val="28"/>
          <w:szCs w:val="28"/>
          <w14:textFill>
            <w14:solidFill>
              <w14:schemeClr w14:val="tx1"/>
            </w14:solidFill>
          </w14:textFill>
        </w:rPr>
        <w:t>、课程教学方法</w:t>
      </w:r>
    </w:p>
    <w:p>
      <w:pPr>
        <w:spacing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本课程教学活动以课堂讲授和临床实践并重。理论课用多媒体课件，并以小组讨论、实际案例分析等形式组织教学；实践部分以情境教学法、角色扮演法及床边实践等教学手段来组织教学。</w:t>
      </w:r>
    </w:p>
    <w:p>
      <w:pPr>
        <w:widowControl/>
        <w:shd w:val="clear" w:color="auto" w:fill="FFFFFF"/>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五、课程评价：成绩考核方法及评定标准</w:t>
      </w:r>
    </w:p>
    <w:p>
      <w:pPr>
        <w:spacing w:line="360" w:lineRule="auto"/>
        <w:ind w:firstLine="420" w:firstLineChars="175"/>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考核方法分为理论考核与沟通技能考核，平时成绩占20%（由日常考勤、小组讨论、见习训练等环节组成），期末成绩占80%，其中笔试（或论文）占40%，沟通能力考核在临床技能中心进行，占40%。</w:t>
      </w:r>
    </w:p>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六、教材、参考书及建议阅读文献或参考网站</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教材：</w:t>
      </w:r>
    </w:p>
    <w:p>
      <w:pPr>
        <w:pStyle w:val="11"/>
        <w:numPr>
          <w:ilvl w:val="0"/>
          <w:numId w:val="3"/>
        </w:numPr>
        <w:spacing w:line="360" w:lineRule="auto"/>
        <w:ind w:firstLineChars="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王锦帆,尹梅.</w:t>
      </w:r>
      <w:r>
        <w:rPr>
          <w:rFonts w:hint="eastAsia" w:asciiTheme="majorEastAsia" w:hAnsiTheme="majorEastAsia" w:eastAsiaTheme="majorEastAsia"/>
          <w:color w:val="000000" w:themeColor="text1"/>
          <w:sz w:val="24"/>
          <w:szCs w:val="24"/>
          <w14:textFill>
            <w14:solidFill>
              <w14:schemeClr w14:val="tx1"/>
            </w14:solidFill>
          </w14:textFill>
        </w:rPr>
        <w:t>医患沟通</w:t>
      </w:r>
      <w:r>
        <w:rPr>
          <w:rFonts w:hint="eastAsia" w:asciiTheme="majorEastAsia" w:hAnsiTheme="majorEastAsia" w:eastAsiaTheme="majorEastAsia"/>
          <w:color w:val="000000" w:themeColor="text1"/>
          <w:sz w:val="24"/>
          <w14:textFill>
            <w14:solidFill>
              <w14:schemeClr w14:val="tx1"/>
            </w14:solidFill>
          </w14:textFill>
        </w:rPr>
        <w:t>(第二版),北京：</w:t>
      </w:r>
      <w:r>
        <w:rPr>
          <w:rFonts w:hint="eastAsia" w:asciiTheme="majorEastAsia" w:hAnsiTheme="majorEastAsia" w:eastAsiaTheme="majorEastAsia"/>
          <w:color w:val="000000" w:themeColor="text1"/>
          <w:sz w:val="24"/>
          <w:szCs w:val="24"/>
          <w14:textFill>
            <w14:solidFill>
              <w14:schemeClr w14:val="tx1"/>
            </w14:solidFill>
          </w14:textFill>
        </w:rPr>
        <w:t>人民卫生出版社，201</w:t>
      </w:r>
      <w:r>
        <w:rPr>
          <w:rFonts w:hint="eastAsia" w:asciiTheme="majorEastAsia" w:hAnsiTheme="majorEastAsia" w:eastAsiaTheme="majorEastAsia"/>
          <w:color w:val="000000" w:themeColor="text1"/>
          <w:sz w:val="24"/>
          <w14:textFill>
            <w14:solidFill>
              <w14:schemeClr w14:val="tx1"/>
            </w14:solidFill>
          </w14:textFill>
        </w:rPr>
        <w:t>8</w:t>
      </w:r>
      <w:r>
        <w:rPr>
          <w:rFonts w:hint="eastAsia" w:asciiTheme="majorEastAsia" w:hAnsiTheme="majorEastAsia" w:eastAsiaTheme="majorEastAsia"/>
          <w:color w:val="000000" w:themeColor="text1"/>
          <w:sz w:val="24"/>
          <w:szCs w:val="24"/>
          <w14:textFill>
            <w14:solidFill>
              <w14:schemeClr w14:val="tx1"/>
            </w14:solidFill>
          </w14:textFill>
        </w:rPr>
        <w:t>年</w:t>
      </w:r>
      <w:r>
        <w:rPr>
          <w:rFonts w:hint="eastAsia" w:asciiTheme="majorEastAsia" w:hAnsiTheme="majorEastAsia" w:eastAsiaTheme="majorEastAsia"/>
          <w:color w:val="000000" w:themeColor="text1"/>
          <w:sz w:val="24"/>
          <w14:textFill>
            <w14:solidFill>
              <w14:schemeClr w14:val="tx1"/>
            </w14:solidFill>
          </w14:textFill>
        </w:rPr>
        <w:t>.</w:t>
      </w:r>
    </w:p>
    <w:p>
      <w:pPr>
        <w:pStyle w:val="11"/>
        <w:numPr>
          <w:ilvl w:val="0"/>
          <w:numId w:val="3"/>
        </w:numPr>
        <w:spacing w:line="360" w:lineRule="auto"/>
        <w:ind w:firstLineChars="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施永兴.临终关怀学概论,上海：复旦大学出版社，2015.</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参考书：</w:t>
      </w:r>
      <w:r>
        <w:rPr>
          <w:rFonts w:asciiTheme="majorEastAsia" w:hAnsiTheme="majorEastAsia" w:eastAsiaTheme="majorEastAsia"/>
          <w:color w:val="000000" w:themeColor="text1"/>
          <w:sz w:val="24"/>
          <w14:textFill>
            <w14:solidFill>
              <w14:schemeClr w14:val="tx1"/>
            </w14:solidFill>
          </w14:textFill>
        </w:rPr>
        <w:br w:type="textWrapping"/>
      </w:r>
      <w:r>
        <w:rPr>
          <w:rFonts w:hint="eastAsia" w:asciiTheme="majorEastAsia" w:hAnsiTheme="majorEastAsia" w:eastAsiaTheme="majorEastAsia"/>
          <w:color w:val="000000" w:themeColor="text1"/>
          <w:sz w:val="24"/>
          <w14:textFill>
            <w14:solidFill>
              <w14:schemeClr w14:val="tx1"/>
            </w14:solidFill>
          </w14:textFill>
        </w:rPr>
        <w:t>1.王爱英.《医学生医患沟通能力培养的理论研究与实践探索》，北京：科学技术文献出版社，2020.</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2.《中国医学本科教育标准》</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w:t>
      </w:r>
      <w:r>
        <w:rPr>
          <w:rFonts w:asciiTheme="majorEastAsia" w:hAnsiTheme="majorEastAsia" w:eastAsiaTheme="majorEastAsia"/>
          <w:color w:val="000000" w:themeColor="text1"/>
          <w:sz w:val="24"/>
          <w14:textFill>
            <w14:solidFill>
              <w14:schemeClr w14:val="tx1"/>
            </w14:solidFill>
          </w14:textFill>
        </w:rPr>
        <w:t>中华人民共和国执业医师法</w:t>
      </w:r>
      <w:r>
        <w:rPr>
          <w:rFonts w:hint="eastAsia" w:asciiTheme="majorEastAsia" w:hAnsiTheme="majorEastAsia" w:eastAsiaTheme="majorEastAsia"/>
          <w:color w:val="000000" w:themeColor="text1"/>
          <w:sz w:val="24"/>
          <w14:textFill>
            <w14:solidFill>
              <w14:schemeClr w14:val="tx1"/>
            </w14:solidFill>
          </w14:textFill>
        </w:rPr>
        <w:t>》</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4.《医疗事故处理条例》</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5.《</w:t>
      </w:r>
      <w:r>
        <w:rPr>
          <w:rFonts w:asciiTheme="majorEastAsia" w:hAnsiTheme="majorEastAsia" w:eastAsiaTheme="majorEastAsia"/>
          <w:color w:val="000000" w:themeColor="text1"/>
          <w:sz w:val="24"/>
          <w14:textFill>
            <w14:solidFill>
              <w14:schemeClr w14:val="tx1"/>
            </w14:solidFill>
          </w14:textFill>
        </w:rPr>
        <w:t>中华人民共和国</w:t>
      </w:r>
      <w:r>
        <w:rPr>
          <w:rFonts w:hint="eastAsia" w:asciiTheme="majorEastAsia" w:hAnsiTheme="majorEastAsia" w:eastAsiaTheme="majorEastAsia"/>
          <w:color w:val="000000" w:themeColor="text1"/>
          <w:sz w:val="24"/>
          <w14:textFill>
            <w14:solidFill>
              <w14:schemeClr w14:val="tx1"/>
            </w14:solidFill>
          </w14:textFill>
        </w:rPr>
        <w:t>侵权责任法》</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6.《病历书写基本规范》</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7.（美）彼得</w:t>
      </w:r>
      <w:r>
        <w:rPr>
          <w:rFonts w:hint="eastAsia" w:asciiTheme="majorEastAsia" w:hAnsiTheme="majorEastAsia" w:eastAsiaTheme="majorEastAsia"/>
          <w:color w:val="000000" w:themeColor="text1"/>
          <w:sz w:val="24"/>
          <w14:textFill>
            <w14:solidFill>
              <w14:schemeClr w14:val="tx1"/>
            </w14:solidFill>
          </w14:textFill>
        </w:rPr>
        <w:sym w:font="Wingdings 2" w:char="F095"/>
      </w:r>
      <w:r>
        <w:rPr>
          <w:rFonts w:hint="eastAsia" w:asciiTheme="majorEastAsia" w:hAnsiTheme="majorEastAsia" w:eastAsiaTheme="majorEastAsia"/>
          <w:color w:val="000000" w:themeColor="text1"/>
          <w:sz w:val="24"/>
          <w14:textFill>
            <w14:solidFill>
              <w14:schemeClr w14:val="tx1"/>
            </w14:solidFill>
          </w14:textFill>
        </w:rPr>
        <w:t>于贝尔.生命的关键决定：从医生做主到患者赋权.北京：三联书店，2017.</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8.刘保延.患者报告结局的测量：原理、方法与应用.北京：人民卫生出版社，2011.</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9.(美)阿图葛文德译.最好的告别：关于衰老，你必须知道的常识.杭州：浙江人民出版社，2015.</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阅读文献：</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1.中华医学教育杂志（国内刊号11-5259/</w:t>
      </w:r>
      <w:r>
        <w:rPr>
          <w:rFonts w:asciiTheme="majorEastAsia" w:hAnsiTheme="majorEastAsia" w:eastAsiaTheme="majorEastAsia"/>
          <w:color w:val="000000" w:themeColor="text1"/>
          <w:sz w:val="24"/>
          <w14:textFill>
            <w14:solidFill>
              <w14:schemeClr w14:val="tx1"/>
            </w14:solidFill>
          </w14:textFill>
        </w:rPr>
        <w:t>R</w:t>
      </w:r>
      <w:r>
        <w:rPr>
          <w:rFonts w:hint="eastAsia" w:asciiTheme="majorEastAsia" w:hAnsiTheme="majorEastAsia" w:eastAsiaTheme="majorEastAsia"/>
          <w:color w:val="000000" w:themeColor="text1"/>
          <w:sz w:val="24"/>
          <w14:textFill>
            <w14:solidFill>
              <w14:schemeClr w14:val="tx1"/>
            </w14:solidFill>
          </w14:textFill>
        </w:rPr>
        <w:t>）</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参考网站：</w:t>
      </w:r>
    </w:p>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七、课程内容与教学安排</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1.课程内容</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2.教学安排</w:t>
      </w:r>
      <w:r>
        <w:rPr>
          <w:rFonts w:asciiTheme="majorEastAsia" w:hAnsiTheme="majorEastAsia" w:eastAsiaTheme="majorEastAsia"/>
          <w:color w:val="000000" w:themeColor="text1"/>
          <w:sz w:val="24"/>
          <w14:textFill>
            <w14:solidFill>
              <w14:schemeClr w14:val="tx1"/>
            </w14:solidFill>
          </w14:textFill>
        </w:rPr>
        <w:br w:type="textWrapping"/>
      </w:r>
      <w:r>
        <w:rPr>
          <w:rFonts w:hint="eastAsia" w:asciiTheme="majorEastAsia" w:hAnsiTheme="majorEastAsia" w:eastAsiaTheme="majorEastAsia"/>
          <w:color w:val="000000" w:themeColor="text1"/>
          <w:sz w:val="24"/>
          <w14:textFill>
            <w14:solidFill>
              <w14:schemeClr w14:val="tx1"/>
            </w14:solidFill>
          </w14:textFill>
        </w:rPr>
        <w:t>（1）理论课教学安排（课程各章节学时分配）</w:t>
      </w:r>
    </w:p>
    <w:tbl>
      <w:tblPr>
        <w:tblStyle w:val="6"/>
        <w:tblW w:w="8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3832"/>
        <w:gridCol w:w="1129"/>
        <w:gridCol w:w="1167"/>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章节</w:t>
            </w:r>
          </w:p>
        </w:tc>
        <w:tc>
          <w:tcPr>
            <w:tcW w:w="3832"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内容</w:t>
            </w:r>
          </w:p>
        </w:tc>
        <w:tc>
          <w:tcPr>
            <w:tcW w:w="1129"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学时</w:t>
            </w:r>
          </w:p>
        </w:tc>
        <w:tc>
          <w:tcPr>
            <w:tcW w:w="1167"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线上</w:t>
            </w:r>
          </w:p>
        </w:tc>
        <w:tc>
          <w:tcPr>
            <w:tcW w:w="1080"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线下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第一章</w:t>
            </w:r>
          </w:p>
        </w:tc>
        <w:tc>
          <w:tcPr>
            <w:tcW w:w="3832"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医学教育标准与医学生必备素质</w:t>
            </w:r>
          </w:p>
        </w:tc>
        <w:tc>
          <w:tcPr>
            <w:tcW w:w="1129"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w:t>
            </w:r>
          </w:p>
        </w:tc>
        <w:tc>
          <w:tcPr>
            <w:tcW w:w="1167"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p>
        </w:tc>
        <w:tc>
          <w:tcPr>
            <w:tcW w:w="1080"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555"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第二章</w:t>
            </w:r>
          </w:p>
        </w:tc>
        <w:tc>
          <w:tcPr>
            <w:tcW w:w="3832"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医疗法规</w:t>
            </w:r>
          </w:p>
        </w:tc>
        <w:tc>
          <w:tcPr>
            <w:tcW w:w="1129"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w:t>
            </w:r>
          </w:p>
        </w:tc>
        <w:tc>
          <w:tcPr>
            <w:tcW w:w="1167"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p>
        </w:tc>
        <w:tc>
          <w:tcPr>
            <w:tcW w:w="1080"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555"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第三章</w:t>
            </w:r>
          </w:p>
        </w:tc>
        <w:tc>
          <w:tcPr>
            <w:tcW w:w="3832"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医患沟通</w:t>
            </w:r>
          </w:p>
        </w:tc>
        <w:tc>
          <w:tcPr>
            <w:tcW w:w="1129"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w:t>
            </w:r>
          </w:p>
        </w:tc>
        <w:tc>
          <w:tcPr>
            <w:tcW w:w="1167" w:type="dxa"/>
          </w:tcPr>
          <w:p>
            <w:pPr>
              <w:spacing w:line="360" w:lineRule="auto"/>
              <w:ind w:firstLine="480" w:firstLineChars="200"/>
              <w:jc w:val="center"/>
              <w:rPr>
                <w:rFonts w:asciiTheme="majorEastAsia" w:hAnsiTheme="majorEastAsia" w:eastAsiaTheme="majorEastAsia"/>
                <w:color w:val="000000" w:themeColor="text1"/>
                <w:sz w:val="24"/>
                <w14:textFill>
                  <w14:solidFill>
                    <w14:schemeClr w14:val="tx1"/>
                  </w14:solidFill>
                </w14:textFill>
              </w:rPr>
            </w:pPr>
          </w:p>
        </w:tc>
        <w:tc>
          <w:tcPr>
            <w:tcW w:w="1080"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55"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第四章</w:t>
            </w:r>
          </w:p>
        </w:tc>
        <w:tc>
          <w:tcPr>
            <w:tcW w:w="3832"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临床沟通技巧</w:t>
            </w:r>
          </w:p>
        </w:tc>
        <w:tc>
          <w:tcPr>
            <w:tcW w:w="1129"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w:t>
            </w:r>
          </w:p>
        </w:tc>
        <w:tc>
          <w:tcPr>
            <w:tcW w:w="1167"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p>
        </w:tc>
        <w:tc>
          <w:tcPr>
            <w:tcW w:w="1080"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55"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第五章</w:t>
            </w:r>
          </w:p>
        </w:tc>
        <w:tc>
          <w:tcPr>
            <w:tcW w:w="3832"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临终关怀</w:t>
            </w:r>
          </w:p>
        </w:tc>
        <w:tc>
          <w:tcPr>
            <w:tcW w:w="1129"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w:t>
            </w:r>
          </w:p>
        </w:tc>
        <w:tc>
          <w:tcPr>
            <w:tcW w:w="1167"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p>
        </w:tc>
        <w:tc>
          <w:tcPr>
            <w:tcW w:w="1080"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55"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合计</w:t>
            </w:r>
          </w:p>
        </w:tc>
        <w:tc>
          <w:tcPr>
            <w:tcW w:w="3832"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p>
        </w:tc>
        <w:tc>
          <w:tcPr>
            <w:tcW w:w="1129"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w:t>
            </w:r>
            <w:r>
              <w:rPr>
                <w:rFonts w:asciiTheme="majorEastAsia" w:hAnsiTheme="majorEastAsia" w:eastAsiaTheme="majorEastAsia"/>
                <w:color w:val="000000" w:themeColor="text1"/>
                <w:sz w:val="24"/>
                <w14:textFill>
                  <w14:solidFill>
                    <w14:schemeClr w14:val="tx1"/>
                  </w14:solidFill>
                </w14:textFill>
              </w:rPr>
              <w:t>2</w:t>
            </w:r>
          </w:p>
        </w:tc>
        <w:tc>
          <w:tcPr>
            <w:tcW w:w="1167"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p>
        </w:tc>
        <w:tc>
          <w:tcPr>
            <w:tcW w:w="1080"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w:t>
            </w:r>
            <w:r>
              <w:rPr>
                <w:rFonts w:asciiTheme="majorEastAsia" w:hAnsiTheme="majorEastAsia" w:eastAsiaTheme="majorEastAsia"/>
                <w:color w:val="000000" w:themeColor="text1"/>
                <w:sz w:val="24"/>
                <w14:textFill>
                  <w14:solidFill>
                    <w14:schemeClr w14:val="tx1"/>
                  </w14:solidFill>
                </w14:textFill>
              </w:rPr>
              <w:t>2</w:t>
            </w:r>
          </w:p>
        </w:tc>
      </w:tr>
    </w:tbl>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（2）实验、实践教学（课间实习）内容安排及学时分配</w:t>
      </w:r>
    </w:p>
    <w:tbl>
      <w:tblPr>
        <w:tblStyle w:val="6"/>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3827"/>
        <w:gridCol w:w="1134"/>
        <w:gridCol w:w="1134"/>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章节</w:t>
            </w:r>
          </w:p>
        </w:tc>
        <w:tc>
          <w:tcPr>
            <w:tcW w:w="3827"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内容</w:t>
            </w:r>
          </w:p>
        </w:tc>
        <w:tc>
          <w:tcPr>
            <w:tcW w:w="1134"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学时</w:t>
            </w:r>
          </w:p>
        </w:tc>
        <w:tc>
          <w:tcPr>
            <w:tcW w:w="1134"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线上</w:t>
            </w:r>
          </w:p>
        </w:tc>
        <w:tc>
          <w:tcPr>
            <w:tcW w:w="1170"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线下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555"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第一单元</w:t>
            </w:r>
          </w:p>
        </w:tc>
        <w:tc>
          <w:tcPr>
            <w:tcW w:w="3827"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医疗法规</w:t>
            </w:r>
          </w:p>
        </w:tc>
        <w:tc>
          <w:tcPr>
            <w:tcW w:w="1134"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w:t>
            </w:r>
          </w:p>
        </w:tc>
        <w:tc>
          <w:tcPr>
            <w:tcW w:w="1134"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p>
        </w:tc>
        <w:tc>
          <w:tcPr>
            <w:tcW w:w="1170"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555"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第二单元</w:t>
            </w:r>
          </w:p>
        </w:tc>
        <w:tc>
          <w:tcPr>
            <w:tcW w:w="3827"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医患沟通</w:t>
            </w:r>
          </w:p>
        </w:tc>
        <w:tc>
          <w:tcPr>
            <w:tcW w:w="1134"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asciiTheme="majorEastAsia" w:hAnsiTheme="majorEastAsia" w:eastAsiaTheme="majorEastAsia"/>
                <w:color w:val="000000" w:themeColor="text1"/>
                <w:sz w:val="24"/>
                <w14:textFill>
                  <w14:solidFill>
                    <w14:schemeClr w14:val="tx1"/>
                  </w14:solidFill>
                </w14:textFill>
              </w:rPr>
              <w:t>2</w:t>
            </w:r>
          </w:p>
        </w:tc>
        <w:tc>
          <w:tcPr>
            <w:tcW w:w="1134" w:type="dxa"/>
          </w:tcPr>
          <w:p>
            <w:pPr>
              <w:spacing w:line="360" w:lineRule="auto"/>
              <w:ind w:firstLine="480" w:firstLineChars="200"/>
              <w:jc w:val="center"/>
              <w:rPr>
                <w:rFonts w:asciiTheme="majorEastAsia" w:hAnsiTheme="majorEastAsia" w:eastAsiaTheme="majorEastAsia"/>
                <w:color w:val="000000" w:themeColor="text1"/>
                <w:sz w:val="24"/>
                <w14:textFill>
                  <w14:solidFill>
                    <w14:schemeClr w14:val="tx1"/>
                  </w14:solidFill>
                </w14:textFill>
              </w:rPr>
            </w:pPr>
          </w:p>
        </w:tc>
        <w:tc>
          <w:tcPr>
            <w:tcW w:w="1170"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asciiTheme="majorEastAsia" w:hAnsiTheme="majorEastAsia" w:eastAsiaTheme="majorEastAsia"/>
                <w:color w:val="000000" w:themeColor="text1"/>
                <w:sz w:val="24"/>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55"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第三单元</w:t>
            </w:r>
          </w:p>
        </w:tc>
        <w:tc>
          <w:tcPr>
            <w:tcW w:w="3827"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临床沟通技巧</w:t>
            </w:r>
          </w:p>
        </w:tc>
        <w:tc>
          <w:tcPr>
            <w:tcW w:w="1134"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asciiTheme="majorEastAsia" w:hAnsiTheme="majorEastAsia" w:eastAsiaTheme="majorEastAsia"/>
                <w:color w:val="000000" w:themeColor="text1"/>
                <w:sz w:val="24"/>
                <w14:textFill>
                  <w14:solidFill>
                    <w14:schemeClr w14:val="tx1"/>
                  </w14:solidFill>
                </w14:textFill>
              </w:rPr>
              <w:t>2</w:t>
            </w:r>
          </w:p>
        </w:tc>
        <w:tc>
          <w:tcPr>
            <w:tcW w:w="1134"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p>
        </w:tc>
        <w:tc>
          <w:tcPr>
            <w:tcW w:w="1170"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asciiTheme="majorEastAsia" w:hAnsiTheme="majorEastAsia" w:eastAsiaTheme="majorEastAsia"/>
                <w:color w:val="000000" w:themeColor="text1"/>
                <w:sz w:val="24"/>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55"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合计</w:t>
            </w:r>
          </w:p>
        </w:tc>
        <w:tc>
          <w:tcPr>
            <w:tcW w:w="3827"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p>
        </w:tc>
        <w:tc>
          <w:tcPr>
            <w:tcW w:w="1134"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6</w:t>
            </w:r>
          </w:p>
        </w:tc>
        <w:tc>
          <w:tcPr>
            <w:tcW w:w="1134"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p>
        </w:tc>
        <w:tc>
          <w:tcPr>
            <w:tcW w:w="1170" w:type="dxa"/>
          </w:tcPr>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6</w:t>
            </w:r>
          </w:p>
        </w:tc>
      </w:tr>
    </w:tbl>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八、教学基本内容及要求</w:t>
      </w:r>
    </w:p>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（一）理论教学基本要求及基本内容</w:t>
      </w:r>
    </w:p>
    <w:p>
      <w:pPr>
        <w:numPr>
          <w:ilvl w:val="0"/>
          <w:numId w:val="4"/>
        </w:numPr>
        <w:spacing w:line="36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医学教育标准与医学生必备素质</w:t>
      </w:r>
    </w:p>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[基本要求]</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1.掌握医学毕业生应达到的基本能力要求</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2.基本掌握当前医学教育标准</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3.了解中国共产党领导医学教育的发展历程、辉煌成就与经验启示</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4.拓展医学教育面临的问题及改革</w:t>
      </w:r>
    </w:p>
    <w:p>
      <w:pPr>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[教学时数]</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asciiTheme="majorEastAsia" w:hAnsiTheme="majorEastAsia" w:eastAsiaTheme="majorEastAsia"/>
          <w:color w:val="000000" w:themeColor="text1"/>
          <w:sz w:val="24"/>
          <w14:textFill>
            <w14:solidFill>
              <w14:schemeClr w14:val="tx1"/>
            </w14:solidFill>
          </w14:textFill>
        </w:rPr>
        <w:t xml:space="preserve"> </w:t>
      </w:r>
      <w:r>
        <w:rPr>
          <w:rFonts w:hint="eastAsia" w:asciiTheme="majorEastAsia" w:hAnsiTheme="majorEastAsia" w:eastAsiaTheme="majorEastAsia"/>
          <w:color w:val="000000" w:themeColor="text1"/>
          <w:sz w:val="24"/>
          <w14:textFill>
            <w14:solidFill>
              <w14:schemeClr w14:val="tx1"/>
            </w14:solidFill>
          </w14:textFill>
        </w:rPr>
        <w:t>2学时</w:t>
      </w:r>
    </w:p>
    <w:p>
      <w:pPr>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[基本内容]</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1.本科医学教育全球标准和</w:t>
      </w:r>
      <w:r>
        <w:rPr>
          <w:rFonts w:asciiTheme="majorEastAsia" w:hAnsiTheme="majorEastAsia" w:eastAsiaTheme="majorEastAsia"/>
          <w:color w:val="000000" w:themeColor="text1"/>
          <w:sz w:val="24"/>
          <w14:textFill>
            <w14:solidFill>
              <w14:schemeClr w14:val="tx1"/>
            </w14:solidFill>
          </w14:textFill>
        </w:rPr>
        <w:t>中国本科医学教育标准</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2.医学毕业生应达到的基本能力要求</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3.中国共产党领导医学教育的发展历程、辉煌成就与经验启示</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4.医学教育面临的问题及改革</w:t>
      </w:r>
    </w:p>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[重点难点</w:t>
      </w:r>
      <w:r>
        <w:rPr>
          <w:rFonts w:ascii="黑体" w:hAnsi="黑体" w:eastAsia="黑体"/>
          <w:color w:val="000000" w:themeColor="text1"/>
          <w:sz w:val="28"/>
          <w:szCs w:val="28"/>
          <w14:textFill>
            <w14:solidFill>
              <w14:schemeClr w14:val="tx1"/>
            </w14:solidFill>
          </w14:textFill>
        </w:rPr>
        <w:t>]</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重点：</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1.中国共产党领导医学教育的发展历程、辉煌成就与经验启示。</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2.医学毕业生应达到的基本能力要求</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难点：医学教育中的学科门类较多，理论知识点多，受篇幅所限，不能展开阐述。因此，理论讲授应深入浅出，联系临床实际，结合典型案例，力求讲精说透。</w:t>
      </w:r>
      <w:r>
        <w:rPr>
          <w:rFonts w:asciiTheme="majorEastAsia" w:hAnsiTheme="majorEastAsia" w:eastAsiaTheme="majorEastAsia"/>
          <w:color w:val="000000" w:themeColor="text1"/>
          <w:sz w:val="24"/>
          <w14:textFill>
            <w14:solidFill>
              <w14:schemeClr w14:val="tx1"/>
            </w14:solidFill>
          </w14:textFill>
        </w:rPr>
        <w:br w:type="textWrapping"/>
      </w:r>
      <w:r>
        <w:rPr>
          <w:rFonts w:hint="eastAsia" w:ascii="黑体" w:hAnsi="黑体" w:eastAsia="黑体"/>
          <w:color w:val="000000" w:themeColor="text1"/>
          <w:sz w:val="28"/>
          <w:szCs w:val="28"/>
          <w14:textFill>
            <w14:solidFill>
              <w14:schemeClr w14:val="tx1"/>
            </w14:solidFill>
          </w14:textFill>
        </w:rPr>
        <w:t>[自学内容</w:t>
      </w:r>
      <w:r>
        <w:rPr>
          <w:rFonts w:ascii="黑体" w:hAnsi="黑体" w:eastAsia="黑体"/>
          <w:color w:val="000000" w:themeColor="text1"/>
          <w:sz w:val="28"/>
          <w:szCs w:val="28"/>
          <w14:textFill>
            <w14:solidFill>
              <w14:schemeClr w14:val="tx1"/>
            </w14:solidFill>
          </w14:textFill>
        </w:rPr>
        <w:t>]</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 《中国医学本科教育标准》</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 王锦帆,尹梅.医患沟通(第二版),北京：人民卫生出版社，2018年.</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参考书：</w:t>
      </w:r>
      <w:r>
        <w:rPr>
          <w:rFonts w:asciiTheme="majorEastAsia" w:hAnsiTheme="majorEastAsia" w:eastAsiaTheme="majorEastAsia"/>
          <w:color w:val="000000" w:themeColor="text1"/>
          <w:sz w:val="24"/>
          <w14:textFill>
            <w14:solidFill>
              <w14:schemeClr w14:val="tx1"/>
            </w14:solidFill>
          </w14:textFill>
        </w:rPr>
        <w:br w:type="textWrapping"/>
      </w:r>
      <w:r>
        <w:rPr>
          <w:rFonts w:hint="eastAsia" w:asciiTheme="majorEastAsia" w:hAnsiTheme="majorEastAsia" w:eastAsiaTheme="majorEastAsia"/>
          <w:color w:val="000000" w:themeColor="text1"/>
          <w:sz w:val="24"/>
          <w14:textFill>
            <w14:solidFill>
              <w14:schemeClr w14:val="tx1"/>
            </w14:solidFill>
          </w14:textFill>
        </w:rPr>
        <w:t>3.王爱英.医学生医患沟通能力培养的理论研究与实践探索，北京：科学技术文献出版社，2020.</w:t>
      </w:r>
    </w:p>
    <w:p>
      <w:pPr>
        <w:spacing w:line="360" w:lineRule="auto"/>
        <w:rPr>
          <w:rFonts w:asciiTheme="majorEastAsia" w:hAnsiTheme="majorEastAsia" w:eastAsiaTheme="majorEastAsia"/>
          <w:color w:val="000000" w:themeColor="text1"/>
          <w:sz w:val="24"/>
          <w14:textFill>
            <w14:solidFill>
              <w14:schemeClr w14:val="tx1"/>
            </w14:solidFill>
          </w14:textFill>
        </w:rPr>
      </w:pPr>
    </w:p>
    <w:p>
      <w:pPr>
        <w:numPr>
          <w:ilvl w:val="0"/>
          <w:numId w:val="4"/>
        </w:numPr>
        <w:spacing w:line="36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医疗法规</w:t>
      </w:r>
    </w:p>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[基本要求]</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1.掌握《</w:t>
      </w:r>
      <w:r>
        <w:rPr>
          <w:rFonts w:asciiTheme="majorEastAsia" w:hAnsiTheme="majorEastAsia" w:eastAsiaTheme="majorEastAsia"/>
          <w:color w:val="000000" w:themeColor="text1"/>
          <w:sz w:val="24"/>
          <w14:textFill>
            <w14:solidFill>
              <w14:schemeClr w14:val="tx1"/>
            </w14:solidFill>
          </w14:textFill>
        </w:rPr>
        <w:t>中华人民共和国执业医师法</w:t>
      </w:r>
      <w:r>
        <w:rPr>
          <w:rFonts w:hint="eastAsia" w:asciiTheme="majorEastAsia" w:hAnsiTheme="majorEastAsia" w:eastAsiaTheme="majorEastAsia"/>
          <w:color w:val="000000" w:themeColor="text1"/>
          <w:sz w:val="24"/>
          <w14:textFill>
            <w14:solidFill>
              <w14:schemeClr w14:val="tx1"/>
            </w14:solidFill>
          </w14:textFill>
        </w:rPr>
        <w:t>》相关内容</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2.基本掌握《病历书写基本规范》相关内容</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3.了解《</w:t>
      </w:r>
      <w:r>
        <w:rPr>
          <w:rFonts w:asciiTheme="majorEastAsia" w:hAnsiTheme="majorEastAsia" w:eastAsiaTheme="majorEastAsia"/>
          <w:color w:val="000000" w:themeColor="text1"/>
          <w:sz w:val="24"/>
          <w14:textFill>
            <w14:solidFill>
              <w14:schemeClr w14:val="tx1"/>
            </w14:solidFill>
          </w14:textFill>
        </w:rPr>
        <w:t>中华人民共和国</w:t>
      </w:r>
      <w:r>
        <w:rPr>
          <w:rFonts w:hint="eastAsia" w:asciiTheme="majorEastAsia" w:hAnsiTheme="majorEastAsia" w:eastAsiaTheme="majorEastAsia"/>
          <w:color w:val="000000" w:themeColor="text1"/>
          <w:sz w:val="24"/>
          <w14:textFill>
            <w14:solidFill>
              <w14:schemeClr w14:val="tx1"/>
            </w14:solidFill>
          </w14:textFill>
        </w:rPr>
        <w:t>侵权责任法》、《医疗事故处理条例》、《医疗纠纷处理的基本原则》</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w:t>
      </w:r>
      <w:r>
        <w:rPr>
          <w:rFonts w:asciiTheme="majorEastAsia" w:hAnsiTheme="majorEastAsia" w:eastAsiaTheme="majorEastAsia"/>
          <w:color w:val="000000" w:themeColor="text1"/>
          <w:sz w:val="24"/>
          <w14:textFill>
            <w14:solidFill>
              <w14:schemeClr w14:val="tx1"/>
            </w14:solidFill>
          </w14:textFill>
        </w:rPr>
        <w:t xml:space="preserve"> </w:t>
      </w:r>
      <w:r>
        <w:rPr>
          <w:rFonts w:hint="eastAsia" w:asciiTheme="majorEastAsia" w:hAnsiTheme="majorEastAsia" w:eastAsiaTheme="majorEastAsia"/>
          <w:color w:val="000000" w:themeColor="text1"/>
          <w:sz w:val="24"/>
          <w14:textFill>
            <w14:solidFill>
              <w14:schemeClr w14:val="tx1"/>
            </w14:solidFill>
          </w14:textFill>
        </w:rPr>
        <w:t>拓展医疗法规执行过程中面临的问题及挑战</w:t>
      </w:r>
    </w:p>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[教学时数</w:t>
      </w:r>
      <w:r>
        <w:rPr>
          <w:rFonts w:ascii="黑体" w:hAnsi="黑体" w:eastAsia="黑体"/>
          <w:color w:val="000000" w:themeColor="text1"/>
          <w:sz w:val="28"/>
          <w:szCs w:val="28"/>
          <w14:textFill>
            <w14:solidFill>
              <w14:schemeClr w14:val="tx1"/>
            </w14:solidFill>
          </w14:textFill>
        </w:rPr>
        <w:t>]</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2学时</w:t>
      </w:r>
    </w:p>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[基本内容]</w:t>
      </w:r>
    </w:p>
    <w:p>
      <w:pPr>
        <w:numPr>
          <w:ilvl w:val="0"/>
          <w:numId w:val="5"/>
        </w:num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w:t>
      </w:r>
      <w:r>
        <w:rPr>
          <w:rFonts w:asciiTheme="majorEastAsia" w:hAnsiTheme="majorEastAsia" w:eastAsiaTheme="majorEastAsia"/>
          <w:color w:val="000000" w:themeColor="text1"/>
          <w:sz w:val="24"/>
          <w14:textFill>
            <w14:solidFill>
              <w14:schemeClr w14:val="tx1"/>
            </w14:solidFill>
          </w14:textFill>
        </w:rPr>
        <w:t>中华人民共和国执业医师法</w:t>
      </w:r>
      <w:r>
        <w:rPr>
          <w:rFonts w:hint="eastAsia" w:asciiTheme="majorEastAsia" w:hAnsiTheme="majorEastAsia" w:eastAsiaTheme="majorEastAsia"/>
          <w:color w:val="000000" w:themeColor="text1"/>
          <w:sz w:val="24"/>
          <w14:textFill>
            <w14:solidFill>
              <w14:schemeClr w14:val="tx1"/>
            </w14:solidFill>
          </w14:textFill>
        </w:rPr>
        <w:t>》</w:t>
      </w:r>
    </w:p>
    <w:p>
      <w:pPr>
        <w:numPr>
          <w:ilvl w:val="0"/>
          <w:numId w:val="5"/>
        </w:num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《医疗事故处理条例》</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 《</w:t>
      </w:r>
      <w:r>
        <w:rPr>
          <w:rFonts w:asciiTheme="majorEastAsia" w:hAnsiTheme="majorEastAsia" w:eastAsiaTheme="majorEastAsia"/>
          <w:color w:val="000000" w:themeColor="text1"/>
          <w:sz w:val="24"/>
          <w14:textFill>
            <w14:solidFill>
              <w14:schemeClr w14:val="tx1"/>
            </w14:solidFill>
          </w14:textFill>
        </w:rPr>
        <w:t>中华人民共和国</w:t>
      </w:r>
      <w:r>
        <w:rPr>
          <w:rFonts w:hint="eastAsia" w:asciiTheme="majorEastAsia" w:hAnsiTheme="majorEastAsia" w:eastAsiaTheme="majorEastAsia"/>
          <w:color w:val="000000" w:themeColor="text1"/>
          <w:sz w:val="24"/>
          <w14:textFill>
            <w14:solidFill>
              <w14:schemeClr w14:val="tx1"/>
            </w14:solidFill>
          </w14:textFill>
        </w:rPr>
        <w:t>侵权责任法》</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 《病历书写基本规范》</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5．医疗纠纷与风险防范</w:t>
      </w:r>
    </w:p>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[重点难点</w:t>
      </w:r>
      <w:r>
        <w:rPr>
          <w:rFonts w:ascii="黑体" w:hAnsi="黑体" w:eastAsia="黑体"/>
          <w:color w:val="000000" w:themeColor="text1"/>
          <w:sz w:val="28"/>
          <w:szCs w:val="28"/>
          <w14:textFill>
            <w14:solidFill>
              <w14:schemeClr w14:val="tx1"/>
            </w14:solidFill>
          </w14:textFill>
        </w:rPr>
        <w:t>]</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重点：</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1.《中华人民共和国执业医师法》</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2.《中华人民共和国侵权责任法》</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难点：医疗法规内容丰富，法规条款较多，学透记牢困难。因此，学习医疗法规，不是让医学生识记法条，模糊记忆也不需要，法规讲授应深入浅出，结合理论分析、典型案例分析让医学生学会以法制思维思考问题、评价问题和指导行为，遇到问题时习惯到相关法规里去找答案。</w:t>
      </w:r>
    </w:p>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[自学内容</w:t>
      </w:r>
      <w:r>
        <w:rPr>
          <w:rFonts w:ascii="黑体" w:hAnsi="黑体" w:eastAsia="黑体"/>
          <w:color w:val="000000" w:themeColor="text1"/>
          <w:sz w:val="28"/>
          <w:szCs w:val="28"/>
          <w14:textFill>
            <w14:solidFill>
              <w14:schemeClr w14:val="tx1"/>
            </w14:solidFill>
          </w14:textFill>
        </w:rPr>
        <w:t>]</w:t>
      </w:r>
    </w:p>
    <w:p>
      <w:pPr>
        <w:pStyle w:val="11"/>
        <w:numPr>
          <w:ilvl w:val="0"/>
          <w:numId w:val="6"/>
        </w:numPr>
        <w:spacing w:line="360" w:lineRule="auto"/>
        <w:ind w:firstLineChars="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《中华人民共和国执业医师法》</w:t>
      </w:r>
    </w:p>
    <w:p>
      <w:pPr>
        <w:numPr>
          <w:ilvl w:val="0"/>
          <w:numId w:val="6"/>
        </w:num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w:t>
      </w:r>
      <w:r>
        <w:rPr>
          <w:rFonts w:asciiTheme="majorEastAsia" w:hAnsiTheme="majorEastAsia" w:eastAsiaTheme="majorEastAsia"/>
          <w:color w:val="000000" w:themeColor="text1"/>
          <w:sz w:val="24"/>
          <w14:textFill>
            <w14:solidFill>
              <w14:schemeClr w14:val="tx1"/>
            </w14:solidFill>
          </w14:textFill>
        </w:rPr>
        <w:t>中华人民共和国执业医师法</w:t>
      </w:r>
      <w:r>
        <w:rPr>
          <w:rFonts w:hint="eastAsia" w:asciiTheme="majorEastAsia" w:hAnsiTheme="majorEastAsia" w:eastAsiaTheme="majorEastAsia"/>
          <w:color w:val="000000" w:themeColor="text1"/>
          <w:sz w:val="24"/>
          <w14:textFill>
            <w14:solidFill>
              <w14:schemeClr w14:val="tx1"/>
            </w14:solidFill>
          </w14:textFill>
        </w:rPr>
        <w:t>》</w:t>
      </w:r>
    </w:p>
    <w:p>
      <w:pPr>
        <w:numPr>
          <w:ilvl w:val="0"/>
          <w:numId w:val="6"/>
        </w:num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《医疗事故处理条例》</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 《</w:t>
      </w:r>
      <w:r>
        <w:rPr>
          <w:rFonts w:asciiTheme="majorEastAsia" w:hAnsiTheme="majorEastAsia" w:eastAsiaTheme="majorEastAsia"/>
          <w:color w:val="000000" w:themeColor="text1"/>
          <w:sz w:val="24"/>
          <w14:textFill>
            <w14:solidFill>
              <w14:schemeClr w14:val="tx1"/>
            </w14:solidFill>
          </w14:textFill>
        </w:rPr>
        <w:t>中华人民共和国</w:t>
      </w:r>
      <w:r>
        <w:rPr>
          <w:rFonts w:hint="eastAsia" w:asciiTheme="majorEastAsia" w:hAnsiTheme="majorEastAsia" w:eastAsiaTheme="majorEastAsia"/>
          <w:color w:val="000000" w:themeColor="text1"/>
          <w:sz w:val="24"/>
          <w14:textFill>
            <w14:solidFill>
              <w14:schemeClr w14:val="tx1"/>
            </w14:solidFill>
          </w14:textFill>
        </w:rPr>
        <w:t>侵权责任法》</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5. 《病历书写基本规范》</w:t>
      </w:r>
    </w:p>
    <w:p>
      <w:pPr>
        <w:spacing w:line="360" w:lineRule="auto"/>
        <w:jc w:val="center"/>
        <w:rPr>
          <w:rFonts w:asciiTheme="majorEastAsia" w:hAnsiTheme="majorEastAsia" w:eastAsiaTheme="majorEastAsia"/>
          <w:color w:val="000000" w:themeColor="text1"/>
          <w:sz w:val="24"/>
          <w14:textFill>
            <w14:solidFill>
              <w14:schemeClr w14:val="tx1"/>
            </w14:solidFill>
          </w14:textFill>
        </w:rPr>
      </w:pPr>
    </w:p>
    <w:p>
      <w:pPr>
        <w:spacing w:line="36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第三章  医患沟通</w:t>
      </w:r>
    </w:p>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[基本要求]</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1．掌握医患沟通的理论基础</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2．基本掌握患者赋权和患者报告结局的概念及应用</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3.了解我国医患关系的现状</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4、拓展医患沟通面临的问题及挑战</w:t>
      </w:r>
    </w:p>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[教学时数</w:t>
      </w:r>
      <w:r>
        <w:rPr>
          <w:rFonts w:ascii="黑体" w:hAnsi="黑体" w:eastAsia="黑体"/>
          <w:color w:val="000000" w:themeColor="text1"/>
          <w:sz w:val="28"/>
          <w:szCs w:val="28"/>
          <w14:textFill>
            <w14:solidFill>
              <w14:schemeClr w14:val="tx1"/>
            </w14:solidFill>
          </w14:textFill>
        </w:rPr>
        <w:t>]</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2学时</w:t>
      </w:r>
    </w:p>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[基本内容]</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1．医患沟通概述</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2．医患沟通的心理学基础</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3．医患沟通的伦理学基础</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4．医患沟通的法律基础</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5．患者赋权的概念</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6．患者报告结局（P</w:t>
      </w:r>
      <w:r>
        <w:rPr>
          <w:rFonts w:asciiTheme="majorEastAsia" w:hAnsiTheme="majorEastAsia" w:eastAsiaTheme="majorEastAsia"/>
          <w:color w:val="000000" w:themeColor="text1"/>
          <w:sz w:val="24"/>
          <w14:textFill>
            <w14:solidFill>
              <w14:schemeClr w14:val="tx1"/>
            </w14:solidFill>
          </w14:textFill>
        </w:rPr>
        <w:t>atient Reported Outcomes</w:t>
      </w:r>
      <w:r>
        <w:rPr>
          <w:rFonts w:hint="eastAsia" w:asciiTheme="majorEastAsia" w:hAnsiTheme="majorEastAsia" w:eastAsiaTheme="majorEastAsia"/>
          <w:color w:val="000000" w:themeColor="text1"/>
          <w:sz w:val="24"/>
          <w14:textFill>
            <w14:solidFill>
              <w14:schemeClr w14:val="tx1"/>
            </w14:solidFill>
          </w14:textFill>
        </w:rPr>
        <w:t>，P</w:t>
      </w:r>
      <w:r>
        <w:rPr>
          <w:rFonts w:asciiTheme="majorEastAsia" w:hAnsiTheme="majorEastAsia" w:eastAsiaTheme="majorEastAsia"/>
          <w:color w:val="000000" w:themeColor="text1"/>
          <w:sz w:val="24"/>
          <w14:textFill>
            <w14:solidFill>
              <w14:schemeClr w14:val="tx1"/>
            </w14:solidFill>
          </w14:textFill>
        </w:rPr>
        <w:t>RO</w:t>
      </w:r>
      <w:r>
        <w:rPr>
          <w:rFonts w:hint="eastAsia" w:asciiTheme="majorEastAsia" w:hAnsiTheme="majorEastAsia" w:eastAsiaTheme="majorEastAsia"/>
          <w:color w:val="000000" w:themeColor="text1"/>
          <w:sz w:val="24"/>
          <w14:textFill>
            <w14:solidFill>
              <w14:schemeClr w14:val="tx1"/>
            </w14:solidFill>
          </w14:textFill>
        </w:rPr>
        <w:t>）的概念及应用</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7．我国医患关系的现状与分析</w:t>
      </w:r>
    </w:p>
    <w:p>
      <w:pPr>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[重点难点</w:t>
      </w:r>
      <w:r>
        <w:rPr>
          <w:rFonts w:ascii="黑体" w:hAnsi="黑体" w:eastAsia="黑体"/>
          <w:color w:val="000000" w:themeColor="text1"/>
          <w:sz w:val="28"/>
          <w:szCs w:val="28"/>
          <w14:textFill>
            <w14:solidFill>
              <w14:schemeClr w14:val="tx1"/>
            </w14:solidFill>
          </w14:textFill>
        </w:rPr>
        <w:t>]</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重点：</w:t>
      </w:r>
    </w:p>
    <w:p>
      <w:pPr>
        <w:pStyle w:val="11"/>
        <w:numPr>
          <w:ilvl w:val="0"/>
          <w:numId w:val="7"/>
        </w:numPr>
        <w:spacing w:line="360" w:lineRule="auto"/>
        <w:ind w:firstLineChars="0"/>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树立现代人文精神，领会新思想和新观念</w:t>
      </w:r>
    </w:p>
    <w:p>
      <w:pPr>
        <w:pStyle w:val="11"/>
        <w:numPr>
          <w:ilvl w:val="0"/>
          <w:numId w:val="7"/>
        </w:numPr>
        <w:spacing w:line="360" w:lineRule="auto"/>
        <w:ind w:firstLineChars="0"/>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深刻领悟医患沟通的基本概念和基本要求</w:t>
      </w:r>
    </w:p>
    <w:p>
      <w:pPr>
        <w:pStyle w:val="11"/>
        <w:numPr>
          <w:ilvl w:val="0"/>
          <w:numId w:val="7"/>
        </w:numPr>
        <w:spacing w:line="360" w:lineRule="auto"/>
        <w:ind w:firstLineChars="0"/>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患者赋权的概念及应用</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难点：</w:t>
      </w:r>
    </w:p>
    <w:p>
      <w:pPr>
        <w:spacing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患沟通学中的学科门类较多，理论知识点多，受篇幅所限，不能展开阐述。因此，理论讲授应深入浅出，改变传统灌输式教学，突出学生的主导地位，启发讨论式教学教学，课堂上多给学生交流发言的机会，联系临床实际，结合典型案例分析，力求讲精说透。</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[自学内容</w:t>
      </w:r>
      <w:r>
        <w:rPr>
          <w:rFonts w:asciiTheme="majorEastAsia" w:hAnsiTheme="majorEastAsia" w:eastAsiaTheme="majorEastAsia"/>
          <w:color w:val="000000" w:themeColor="text1"/>
          <w:sz w:val="24"/>
          <w14:textFill>
            <w14:solidFill>
              <w14:schemeClr w14:val="tx1"/>
            </w14:solidFill>
          </w14:textFill>
        </w:rPr>
        <w:t>]</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 王锦帆,尹梅.医患沟通(第二版),北京：人民卫生出版社，2018年.</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参考书：</w:t>
      </w:r>
      <w:r>
        <w:rPr>
          <w:rFonts w:asciiTheme="majorEastAsia" w:hAnsiTheme="majorEastAsia" w:eastAsiaTheme="majorEastAsia"/>
          <w:color w:val="000000" w:themeColor="text1"/>
          <w:sz w:val="24"/>
          <w14:textFill>
            <w14:solidFill>
              <w14:schemeClr w14:val="tx1"/>
            </w14:solidFill>
          </w14:textFill>
        </w:rPr>
        <w:br w:type="textWrapping"/>
      </w:r>
      <w:r>
        <w:rPr>
          <w:rFonts w:hint="eastAsia" w:asciiTheme="majorEastAsia" w:hAnsiTheme="majorEastAsia" w:eastAsiaTheme="majorEastAsia"/>
          <w:color w:val="000000" w:themeColor="text1"/>
          <w:sz w:val="24"/>
          <w14:textFill>
            <w14:solidFill>
              <w14:schemeClr w14:val="tx1"/>
            </w14:solidFill>
          </w14:textFill>
        </w:rPr>
        <w:t>2.王爱英.医学生医患沟通能力培养的理论研究与实践探索，北京：科学技术文献出版社，2020.</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p>
    <w:p>
      <w:pPr>
        <w:spacing w:line="360" w:lineRule="auto"/>
        <w:ind w:firstLine="3640" w:firstLineChars="1300"/>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第四章    临床沟通技巧</w:t>
      </w:r>
    </w:p>
    <w:p>
      <w:pPr>
        <w:tabs>
          <w:tab w:val="left" w:pos="0"/>
        </w:tabs>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[基本要求]</w:t>
      </w:r>
    </w:p>
    <w:p>
      <w:pPr>
        <w:numPr>
          <w:ilvl w:val="0"/>
          <w:numId w:val="8"/>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掌握医患沟通中医学生应具有的能力和素质</w:t>
      </w:r>
    </w:p>
    <w:p>
      <w:pPr>
        <w:numPr>
          <w:ilvl w:val="0"/>
          <w:numId w:val="8"/>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基本掌握医患沟通的核心技能</w:t>
      </w:r>
    </w:p>
    <w:p>
      <w:pPr>
        <w:numPr>
          <w:ilvl w:val="0"/>
          <w:numId w:val="8"/>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了解国外医患关系现状及经验</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4．拓展新型医学生医患沟通能力培养模式面临的问题及挑战</w:t>
      </w:r>
    </w:p>
    <w:p>
      <w:pPr>
        <w:tabs>
          <w:tab w:val="left" w:pos="0"/>
        </w:tabs>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[教学时数</w:t>
      </w:r>
      <w:r>
        <w:rPr>
          <w:rFonts w:ascii="黑体" w:hAnsi="黑体" w:eastAsia="黑体"/>
          <w:color w:val="000000" w:themeColor="text1"/>
          <w:sz w:val="28"/>
          <w:szCs w:val="28"/>
          <w14:textFill>
            <w14:solidFill>
              <w14:schemeClr w14:val="tx1"/>
            </w14:solidFill>
          </w14:textFill>
        </w:rPr>
        <w:t>]</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4学时</w:t>
      </w:r>
    </w:p>
    <w:p>
      <w:pPr>
        <w:tabs>
          <w:tab w:val="left" w:pos="0"/>
        </w:tabs>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[基本内容]</w:t>
      </w:r>
    </w:p>
    <w:p>
      <w:pPr>
        <w:numPr>
          <w:ilvl w:val="0"/>
          <w:numId w:val="9"/>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医患沟通中医学生应具有的能力和素质</w:t>
      </w:r>
    </w:p>
    <w:p>
      <w:pPr>
        <w:numPr>
          <w:ilvl w:val="0"/>
          <w:numId w:val="9"/>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医患沟通的基本技能概述</w:t>
      </w:r>
    </w:p>
    <w:p>
      <w:pPr>
        <w:numPr>
          <w:ilvl w:val="0"/>
          <w:numId w:val="9"/>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倾听技巧</w:t>
      </w:r>
    </w:p>
    <w:p>
      <w:pPr>
        <w:numPr>
          <w:ilvl w:val="0"/>
          <w:numId w:val="9"/>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语言沟通技巧</w:t>
      </w:r>
    </w:p>
    <w:p>
      <w:pPr>
        <w:numPr>
          <w:ilvl w:val="0"/>
          <w:numId w:val="9"/>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非语言沟通技巧</w:t>
      </w:r>
    </w:p>
    <w:p>
      <w:pPr>
        <w:numPr>
          <w:ilvl w:val="0"/>
          <w:numId w:val="9"/>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化解冲突中的沟通技巧</w:t>
      </w:r>
    </w:p>
    <w:p>
      <w:pPr>
        <w:numPr>
          <w:ilvl w:val="0"/>
          <w:numId w:val="9"/>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应急时刻的沟通技巧</w:t>
      </w:r>
    </w:p>
    <w:p>
      <w:pPr>
        <w:numPr>
          <w:ilvl w:val="0"/>
          <w:numId w:val="9"/>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与特殊患者的沟通技巧</w:t>
      </w:r>
    </w:p>
    <w:p>
      <w:pPr>
        <w:numPr>
          <w:ilvl w:val="0"/>
          <w:numId w:val="9"/>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医患纠纷处理中的沟通技巧</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10.国外医患沟通现状及经验</w:t>
      </w:r>
    </w:p>
    <w:p>
      <w:pPr>
        <w:tabs>
          <w:tab w:val="left" w:pos="0"/>
        </w:tabs>
        <w:spacing w:line="360" w:lineRule="auto"/>
        <w:rPr>
          <w:rFonts w:ascii="黑体" w:hAnsi="黑体" w:eastAsia="黑体"/>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t>[</w:t>
      </w:r>
      <w:r>
        <w:rPr>
          <w:rFonts w:hint="eastAsia" w:ascii="黑体" w:hAnsi="黑体" w:eastAsia="黑体"/>
          <w:color w:val="000000" w:themeColor="text1"/>
          <w:sz w:val="28"/>
          <w:szCs w:val="28"/>
          <w14:textFill>
            <w14:solidFill>
              <w14:schemeClr w14:val="tx1"/>
            </w14:solidFill>
          </w14:textFill>
        </w:rPr>
        <w:t>重点难点</w:t>
      </w:r>
      <w:r>
        <w:rPr>
          <w:rFonts w:ascii="黑体" w:hAnsi="黑体" w:eastAsia="黑体"/>
          <w:color w:val="000000" w:themeColor="text1"/>
          <w:sz w:val="28"/>
          <w:szCs w:val="28"/>
          <w14:textFill>
            <w14:solidFill>
              <w14:schemeClr w14:val="tx1"/>
            </w14:solidFill>
          </w14:textFill>
        </w:rPr>
        <w:t>]</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重点：</w:t>
      </w:r>
    </w:p>
    <w:p>
      <w:pPr>
        <w:pStyle w:val="11"/>
        <w:numPr>
          <w:ilvl w:val="0"/>
          <w:numId w:val="10"/>
        </w:numPr>
        <w:spacing w:line="360" w:lineRule="auto"/>
        <w:ind w:firstLineChars="0"/>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临床医学各专业学科医患沟通的知识与经验要点</w:t>
      </w:r>
    </w:p>
    <w:p>
      <w:pPr>
        <w:pStyle w:val="11"/>
        <w:numPr>
          <w:ilvl w:val="0"/>
          <w:numId w:val="10"/>
        </w:numPr>
        <w:spacing w:line="360" w:lineRule="auto"/>
        <w:ind w:firstLineChars="0"/>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医患沟通的基本技能和技巧</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难点：</w:t>
      </w:r>
    </w:p>
    <w:p>
      <w:pPr>
        <w:spacing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患沟通学既是临床医学的重点和难点，又是现代社会问题的热点和焦点，人们的看法和见解不一。因此，理论讲授应深入浅出，突出学生的主导地位，采取启发讨论式教学，课堂上多给学生交流发言的机会，联系临床实际，结合典型案例分析和医患对话，有助于激发学习热情，增强学习效果。。</w:t>
      </w:r>
    </w:p>
    <w:p>
      <w:pPr>
        <w:tabs>
          <w:tab w:val="left" w:pos="0"/>
        </w:tabs>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[自学内容</w:t>
      </w:r>
      <w:r>
        <w:rPr>
          <w:rFonts w:ascii="黑体" w:hAnsi="黑体" w:eastAsia="黑体"/>
          <w:color w:val="000000" w:themeColor="text1"/>
          <w:sz w:val="28"/>
          <w:szCs w:val="28"/>
          <w14:textFill>
            <w14:solidFill>
              <w14:schemeClr w14:val="tx1"/>
            </w14:solidFill>
          </w14:textFill>
        </w:rPr>
        <w:t>]</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 王锦帆,尹梅.医患沟通(第二版),北京：人民卫生出版社，2018年.</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参考书：</w:t>
      </w:r>
      <w:r>
        <w:rPr>
          <w:rFonts w:asciiTheme="majorEastAsia" w:hAnsiTheme="majorEastAsia" w:eastAsiaTheme="majorEastAsia"/>
          <w:color w:val="000000" w:themeColor="text1"/>
          <w:sz w:val="24"/>
          <w14:textFill>
            <w14:solidFill>
              <w14:schemeClr w14:val="tx1"/>
            </w14:solidFill>
          </w14:textFill>
        </w:rPr>
        <w:br w:type="textWrapping"/>
      </w:r>
      <w:r>
        <w:rPr>
          <w:rFonts w:hint="eastAsia" w:asciiTheme="majorEastAsia" w:hAnsiTheme="majorEastAsia" w:eastAsiaTheme="majorEastAsia"/>
          <w:color w:val="000000" w:themeColor="text1"/>
          <w:sz w:val="24"/>
          <w14:textFill>
            <w14:solidFill>
              <w14:schemeClr w14:val="tx1"/>
            </w14:solidFill>
          </w14:textFill>
        </w:rPr>
        <w:t>2.王爱英.医学生医患沟通能力培养的理论研究与实践探索，北京：科学技术文献出版社，2020.</w:t>
      </w:r>
    </w:p>
    <w:p>
      <w:pPr>
        <w:spacing w:line="360" w:lineRule="auto"/>
        <w:rPr>
          <w:rFonts w:asciiTheme="majorEastAsia" w:hAnsiTheme="majorEastAsia" w:eastAsiaTheme="majorEastAsia"/>
          <w:color w:val="000000" w:themeColor="text1"/>
          <w:sz w:val="24"/>
          <w14:textFill>
            <w14:solidFill>
              <w14:schemeClr w14:val="tx1"/>
            </w14:solidFill>
          </w14:textFill>
        </w:rPr>
      </w:pPr>
    </w:p>
    <w:p>
      <w:pPr>
        <w:tabs>
          <w:tab w:val="left" w:pos="0"/>
        </w:tabs>
        <w:spacing w:line="360" w:lineRule="auto"/>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第五章   临终关怀</w:t>
      </w:r>
    </w:p>
    <w:p>
      <w:pPr>
        <w:spacing w:line="360" w:lineRule="auto"/>
        <w:jc w:val="center"/>
        <w:rPr>
          <w:rFonts w:asciiTheme="majorEastAsia" w:hAnsiTheme="majorEastAsia" w:eastAsiaTheme="majorEastAsia"/>
          <w:color w:val="000000" w:themeColor="text1"/>
          <w:sz w:val="24"/>
          <w14:textFill>
            <w14:solidFill>
              <w14:schemeClr w14:val="tx1"/>
            </w14:solidFill>
          </w14:textFill>
        </w:rPr>
      </w:pPr>
    </w:p>
    <w:p>
      <w:pPr>
        <w:tabs>
          <w:tab w:val="left" w:pos="0"/>
        </w:tabs>
        <w:spacing w:line="360" w:lineRule="auto"/>
        <w:jc w:val="left"/>
        <w:rPr>
          <w:rFonts w:ascii="黑体" w:hAnsi="黑体" w:eastAsia="黑体"/>
          <w:color w:val="000000" w:themeColor="text1"/>
          <w:sz w:val="28"/>
          <w:szCs w:val="28"/>
          <w14:textFill>
            <w14:solidFill>
              <w14:schemeClr w14:val="tx1"/>
            </w14:solidFill>
          </w14:textFill>
        </w:rPr>
      </w:pPr>
      <w:bookmarkStart w:id="0" w:name="_Hlk80549946"/>
      <w:r>
        <w:rPr>
          <w:rFonts w:hint="eastAsia" w:ascii="黑体" w:hAnsi="黑体" w:eastAsia="黑体"/>
          <w:color w:val="000000" w:themeColor="text1"/>
          <w:sz w:val="28"/>
          <w:szCs w:val="28"/>
          <w14:textFill>
            <w14:solidFill>
              <w14:schemeClr w14:val="tx1"/>
            </w14:solidFill>
          </w14:textFill>
        </w:rPr>
        <w:t>[基本要求]</w:t>
      </w:r>
    </w:p>
    <w:p>
      <w:pPr>
        <w:pStyle w:val="11"/>
        <w:spacing w:line="360" w:lineRule="auto"/>
        <w:ind w:firstLine="0"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1．掌握临终关怀的概念</w:t>
      </w:r>
    </w:p>
    <w:p>
      <w:pPr>
        <w:pStyle w:val="11"/>
        <w:spacing w:line="360" w:lineRule="auto"/>
        <w:ind w:firstLine="0"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2．基本掌握临终病人生活照护方法</w:t>
      </w:r>
    </w:p>
    <w:p>
      <w:pPr>
        <w:pStyle w:val="11"/>
        <w:spacing w:line="360" w:lineRule="auto"/>
        <w:ind w:firstLine="0"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3．了解临终关怀相关的伦理与法律</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4．拓展新时期临终关怀事业面临的问题及挑战</w:t>
      </w:r>
    </w:p>
    <w:p>
      <w:pPr>
        <w:tabs>
          <w:tab w:val="left" w:pos="0"/>
        </w:tabs>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[教学时数</w:t>
      </w:r>
      <w:r>
        <w:rPr>
          <w:rFonts w:ascii="黑体" w:hAnsi="黑体" w:eastAsia="黑体"/>
          <w:color w:val="000000" w:themeColor="text1"/>
          <w:sz w:val="28"/>
          <w:szCs w:val="28"/>
          <w14:textFill>
            <w14:solidFill>
              <w14:schemeClr w14:val="tx1"/>
            </w14:solidFill>
          </w14:textFill>
        </w:rPr>
        <w:t>]</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2学时</w:t>
      </w:r>
    </w:p>
    <w:p>
      <w:pPr>
        <w:tabs>
          <w:tab w:val="left" w:pos="0"/>
        </w:tabs>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[基本内容]</w:t>
      </w:r>
    </w:p>
    <w:p>
      <w:pPr>
        <w:pStyle w:val="11"/>
        <w:spacing w:line="360" w:lineRule="auto"/>
        <w:ind w:firstLine="0"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1. 临终关怀的定义</w:t>
      </w:r>
    </w:p>
    <w:p>
      <w:pPr>
        <w:pStyle w:val="11"/>
        <w:spacing w:line="360" w:lineRule="auto"/>
        <w:ind w:firstLine="0"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2. 临终关怀目标及意义</w:t>
      </w:r>
    </w:p>
    <w:p>
      <w:pPr>
        <w:pStyle w:val="11"/>
        <w:spacing w:line="360" w:lineRule="auto"/>
        <w:ind w:firstLine="0"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3. 临终关怀历史、现状及发展趋势</w:t>
      </w:r>
    </w:p>
    <w:p>
      <w:pPr>
        <w:pStyle w:val="11"/>
        <w:spacing w:line="360" w:lineRule="auto"/>
        <w:ind w:firstLine="0"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4.临终关怀类型</w:t>
      </w:r>
    </w:p>
    <w:p>
      <w:pPr>
        <w:pStyle w:val="11"/>
        <w:spacing w:line="360" w:lineRule="auto"/>
        <w:ind w:firstLine="0"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5.临终关怀与安乐死</w:t>
      </w:r>
    </w:p>
    <w:p>
      <w:pPr>
        <w:pStyle w:val="11"/>
        <w:spacing w:line="360" w:lineRule="auto"/>
        <w:ind w:firstLine="0"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6.脑死亡</w:t>
      </w:r>
    </w:p>
    <w:p>
      <w:pPr>
        <w:pStyle w:val="11"/>
        <w:spacing w:line="360" w:lineRule="auto"/>
        <w:ind w:firstLine="0"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7.临终关怀服务团队组成</w:t>
      </w:r>
    </w:p>
    <w:p>
      <w:pPr>
        <w:pStyle w:val="11"/>
        <w:spacing w:line="360" w:lineRule="auto"/>
        <w:ind w:firstLine="0"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8.临终生活照护</w:t>
      </w:r>
    </w:p>
    <w:p>
      <w:pPr>
        <w:pStyle w:val="11"/>
        <w:spacing w:line="360" w:lineRule="auto"/>
        <w:ind w:firstLine="0"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9.临终症状控制</w:t>
      </w:r>
    </w:p>
    <w:p>
      <w:pPr>
        <w:pStyle w:val="11"/>
        <w:spacing w:line="360" w:lineRule="auto"/>
        <w:ind w:firstLine="0"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10.临终关怀相关的伦理与法律</w:t>
      </w:r>
    </w:p>
    <w:bookmarkEnd w:id="0"/>
    <w:p>
      <w:pPr>
        <w:tabs>
          <w:tab w:val="left" w:pos="0"/>
        </w:tabs>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[重点难点</w:t>
      </w:r>
      <w:r>
        <w:rPr>
          <w:rFonts w:ascii="黑体" w:hAnsi="黑体" w:eastAsia="黑体"/>
          <w:color w:val="000000" w:themeColor="text1"/>
          <w:sz w:val="28"/>
          <w:szCs w:val="28"/>
          <w14:textFill>
            <w14:solidFill>
              <w14:schemeClr w14:val="tx1"/>
            </w14:solidFill>
          </w14:textFill>
        </w:rPr>
        <w:t>]</w:t>
      </w:r>
    </w:p>
    <w:p>
      <w:pPr>
        <w:pStyle w:val="11"/>
        <w:spacing w:line="360" w:lineRule="auto"/>
        <w:ind w:firstLine="0"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重点：</w:t>
      </w:r>
    </w:p>
    <w:p>
      <w:pPr>
        <w:pStyle w:val="11"/>
        <w:numPr>
          <w:ilvl w:val="0"/>
          <w:numId w:val="11"/>
        </w:numPr>
        <w:spacing w:line="360" w:lineRule="auto"/>
        <w:ind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临终关怀的定义</w:t>
      </w:r>
    </w:p>
    <w:p>
      <w:pPr>
        <w:pStyle w:val="11"/>
        <w:numPr>
          <w:ilvl w:val="0"/>
          <w:numId w:val="11"/>
        </w:numPr>
        <w:spacing w:line="360" w:lineRule="auto"/>
        <w:ind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临终关怀的目标及意义</w:t>
      </w:r>
    </w:p>
    <w:p>
      <w:pPr>
        <w:pStyle w:val="11"/>
        <w:numPr>
          <w:ilvl w:val="0"/>
          <w:numId w:val="11"/>
        </w:numPr>
        <w:spacing w:line="360" w:lineRule="auto"/>
        <w:ind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脑死亡</w:t>
      </w:r>
    </w:p>
    <w:p>
      <w:pPr>
        <w:pStyle w:val="11"/>
        <w:numPr>
          <w:ilvl w:val="0"/>
          <w:numId w:val="11"/>
        </w:numPr>
        <w:spacing w:line="360" w:lineRule="auto"/>
        <w:ind w:firstLineChars="0"/>
        <w:jc w:val="left"/>
        <w:rPr>
          <w:rFonts w:asciiTheme="majorEastAsia" w:hAnsiTheme="majorEastAsia" w:eastAsiaTheme="majorEastAsia"/>
          <w:color w:val="000000" w:themeColor="text1"/>
          <w:sz w:val="24"/>
          <w:szCs w:val="24"/>
          <w14:textFill>
            <w14:solidFill>
              <w14:schemeClr w14:val="tx1"/>
            </w14:solidFill>
          </w14:textFill>
        </w:rPr>
      </w:pPr>
      <w:r>
        <w:rPr>
          <w:rFonts w:hint="eastAsia" w:asciiTheme="majorEastAsia" w:hAnsiTheme="majorEastAsia" w:eastAsiaTheme="majorEastAsia"/>
          <w:color w:val="000000" w:themeColor="text1"/>
          <w:sz w:val="24"/>
          <w:szCs w:val="24"/>
          <w14:textFill>
            <w14:solidFill>
              <w14:schemeClr w14:val="tx1"/>
            </w14:solidFill>
          </w14:textFill>
        </w:rPr>
        <w:t>安乐死</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难点：</w:t>
      </w:r>
    </w:p>
    <w:p>
      <w:pPr>
        <w:spacing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目前我国在临终关怀护理教育和培养专门人才方面与国外发达国家相比尚有一定差距，没有专门的课程设置，无固定的教材，教学内容和教学计划无统一的标准和规范，也缺少标准规范的临终关怀医院和接收临终病人的安宁病房。因此，理论讲授应深入浅出，联系临床实际，结合典型案例分析，探访临终关怀医疗机构，力求学有所获。</w:t>
      </w:r>
    </w:p>
    <w:p>
      <w:pPr>
        <w:tabs>
          <w:tab w:val="left" w:pos="0"/>
        </w:tabs>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[自学内容</w:t>
      </w:r>
      <w:r>
        <w:rPr>
          <w:rFonts w:ascii="黑体" w:hAnsi="黑体" w:eastAsia="黑体"/>
          <w:color w:val="000000" w:themeColor="text1"/>
          <w:sz w:val="28"/>
          <w:szCs w:val="28"/>
          <w14:textFill>
            <w14:solidFill>
              <w14:schemeClr w14:val="tx1"/>
            </w14:solidFill>
          </w14:textFill>
        </w:rPr>
        <w:t>]</w:t>
      </w:r>
    </w:p>
    <w:p>
      <w:pPr>
        <w:pStyle w:val="11"/>
        <w:spacing w:line="360" w:lineRule="auto"/>
        <w:ind w:left="360" w:firstLine="0" w:firstLineChars="0"/>
        <w:jc w:val="left"/>
        <w:rPr>
          <w:rFonts w:asciiTheme="majorEastAsia" w:hAnsiTheme="majorEastAsia" w:eastAsiaTheme="majorEastAsia"/>
          <w:color w:val="000000" w:themeColor="text1"/>
          <w:sz w:val="24"/>
          <w:szCs w:val="24"/>
          <w14:textFill>
            <w14:solidFill>
              <w14:schemeClr w14:val="tx1"/>
            </w14:solidFill>
          </w14:textFill>
        </w:rPr>
      </w:pPr>
      <w:bookmarkStart w:id="1" w:name="_Hlk80536346"/>
      <w:r>
        <w:rPr>
          <w:rFonts w:hint="eastAsia" w:asciiTheme="majorEastAsia" w:hAnsiTheme="majorEastAsia" w:eastAsiaTheme="majorEastAsia"/>
          <w:color w:val="000000" w:themeColor="text1"/>
          <w:sz w:val="24"/>
          <w:szCs w:val="24"/>
          <w14:textFill>
            <w14:solidFill>
              <w14:schemeClr w14:val="tx1"/>
            </w14:solidFill>
          </w14:textFill>
        </w:rPr>
        <w:t>施永兴.临终关怀学概论,上海：复旦大学出版社，2015.</w:t>
      </w:r>
      <w:bookmarkEnd w:id="1"/>
    </w:p>
    <w:p>
      <w:pPr>
        <w:pStyle w:val="11"/>
        <w:spacing w:line="360" w:lineRule="auto"/>
        <w:ind w:left="360" w:firstLine="0" w:firstLineChars="0"/>
        <w:jc w:val="left"/>
        <w:rPr>
          <w:rFonts w:asciiTheme="majorEastAsia" w:hAnsiTheme="majorEastAsia" w:eastAsiaTheme="majorEastAsia"/>
          <w:color w:val="000000" w:themeColor="text1"/>
          <w:sz w:val="24"/>
          <w:szCs w:val="24"/>
          <w14:textFill>
            <w14:solidFill>
              <w14:schemeClr w14:val="tx1"/>
            </w14:solidFill>
          </w14:textFill>
        </w:rPr>
      </w:pPr>
    </w:p>
    <w:p>
      <w:pPr>
        <w:spacing w:line="360" w:lineRule="auto"/>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（二）实验、实践环节（课间实习）教学内容安排与要求</w:t>
      </w:r>
    </w:p>
    <w:p>
      <w:pPr>
        <w:tabs>
          <w:tab w:val="left" w:pos="0"/>
        </w:tabs>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第一单元 医疗法规</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[基本要求</w:t>
      </w:r>
      <w:r>
        <w:rPr>
          <w:rFonts w:ascii="黑体" w:hAnsi="黑体" w:eastAsia="黑体"/>
          <w:color w:val="000000" w:themeColor="text1"/>
          <w:sz w:val="28"/>
          <w:szCs w:val="28"/>
          <w14:textFill>
            <w14:solidFill>
              <w14:schemeClr w14:val="tx1"/>
            </w14:solidFill>
          </w14:textFill>
        </w:rPr>
        <w:t>]</w:t>
      </w:r>
      <w:r>
        <w:rPr>
          <w:rFonts w:asciiTheme="majorEastAsia" w:hAnsiTheme="majorEastAsia" w:eastAsiaTheme="majorEastAsia"/>
          <w:color w:val="000000" w:themeColor="text1"/>
          <w:sz w:val="24"/>
          <w14:textFill>
            <w14:solidFill>
              <w14:schemeClr w14:val="tx1"/>
            </w14:solidFill>
          </w14:textFill>
        </w:rPr>
        <w:br w:type="textWrapping"/>
      </w:r>
      <w:r>
        <w:rPr>
          <w:rFonts w:hint="eastAsia" w:asciiTheme="majorEastAsia" w:hAnsiTheme="majorEastAsia" w:eastAsiaTheme="majorEastAsia"/>
          <w:color w:val="000000" w:themeColor="text1"/>
          <w:sz w:val="24"/>
          <w14:textFill>
            <w14:solidFill>
              <w14:schemeClr w14:val="tx1"/>
            </w14:solidFill>
          </w14:textFill>
        </w:rPr>
        <w:t>1.掌握《</w:t>
      </w:r>
      <w:r>
        <w:rPr>
          <w:rFonts w:asciiTheme="majorEastAsia" w:hAnsiTheme="majorEastAsia" w:eastAsiaTheme="majorEastAsia"/>
          <w:color w:val="000000" w:themeColor="text1"/>
          <w:sz w:val="24"/>
          <w14:textFill>
            <w14:solidFill>
              <w14:schemeClr w14:val="tx1"/>
            </w14:solidFill>
          </w14:textFill>
        </w:rPr>
        <w:t>中华人民共和国执业医师法</w:t>
      </w:r>
      <w:r>
        <w:rPr>
          <w:rFonts w:hint="eastAsia" w:asciiTheme="majorEastAsia" w:hAnsiTheme="majorEastAsia" w:eastAsiaTheme="majorEastAsia"/>
          <w:color w:val="000000" w:themeColor="text1"/>
          <w:sz w:val="24"/>
          <w14:textFill>
            <w14:solidFill>
              <w14:schemeClr w14:val="tx1"/>
            </w14:solidFill>
          </w14:textFill>
        </w:rPr>
        <w:t>》相关内容</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2.基本掌握《病历书写基本规范》相关内容</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3.了解《</w:t>
      </w:r>
      <w:r>
        <w:rPr>
          <w:rFonts w:asciiTheme="majorEastAsia" w:hAnsiTheme="majorEastAsia" w:eastAsiaTheme="majorEastAsia"/>
          <w:color w:val="000000" w:themeColor="text1"/>
          <w:sz w:val="24"/>
          <w14:textFill>
            <w14:solidFill>
              <w14:schemeClr w14:val="tx1"/>
            </w14:solidFill>
          </w14:textFill>
        </w:rPr>
        <w:t>中华人民共和国</w:t>
      </w:r>
      <w:r>
        <w:rPr>
          <w:rFonts w:hint="eastAsia" w:asciiTheme="majorEastAsia" w:hAnsiTheme="majorEastAsia" w:eastAsiaTheme="majorEastAsia"/>
          <w:color w:val="000000" w:themeColor="text1"/>
          <w:sz w:val="24"/>
          <w14:textFill>
            <w14:solidFill>
              <w14:schemeClr w14:val="tx1"/>
            </w14:solidFill>
          </w14:textFill>
        </w:rPr>
        <w:t>侵权责任法》、《医疗事故处理条例》、《医疗纠纷处理的基本原则》</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w:t>
      </w:r>
      <w:r>
        <w:rPr>
          <w:rFonts w:asciiTheme="majorEastAsia" w:hAnsiTheme="majorEastAsia" w:eastAsiaTheme="majorEastAsia"/>
          <w:color w:val="000000" w:themeColor="text1"/>
          <w:sz w:val="24"/>
          <w14:textFill>
            <w14:solidFill>
              <w14:schemeClr w14:val="tx1"/>
            </w14:solidFill>
          </w14:textFill>
        </w:rPr>
        <w:t xml:space="preserve"> </w:t>
      </w:r>
      <w:r>
        <w:rPr>
          <w:rFonts w:hint="eastAsia" w:asciiTheme="majorEastAsia" w:hAnsiTheme="majorEastAsia" w:eastAsiaTheme="majorEastAsia"/>
          <w:color w:val="000000" w:themeColor="text1"/>
          <w:sz w:val="24"/>
          <w14:textFill>
            <w14:solidFill>
              <w14:schemeClr w14:val="tx1"/>
            </w14:solidFill>
          </w14:textFill>
        </w:rPr>
        <w:t>拓展医疗法规执行过程中面临的问题及挑战</w:t>
      </w:r>
    </w:p>
    <w:p>
      <w:pPr>
        <w:spacing w:line="360" w:lineRule="auto"/>
        <w:jc w:val="left"/>
        <w:rPr>
          <w:rFonts w:ascii="黑体" w:hAnsi="黑体" w:eastAsia="黑体"/>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t>[</w:t>
      </w:r>
      <w:r>
        <w:rPr>
          <w:rFonts w:hint="eastAsia" w:ascii="黑体" w:hAnsi="黑体" w:eastAsia="黑体"/>
          <w:color w:val="000000" w:themeColor="text1"/>
          <w:sz w:val="28"/>
          <w:szCs w:val="28"/>
          <w14:textFill>
            <w14:solidFill>
              <w14:schemeClr w14:val="tx1"/>
            </w14:solidFill>
          </w14:textFill>
        </w:rPr>
        <w:t>教学时数</w:t>
      </w:r>
      <w:r>
        <w:rPr>
          <w:rFonts w:ascii="黑体" w:hAnsi="黑体" w:eastAsia="黑体"/>
          <w:color w:val="000000" w:themeColor="text1"/>
          <w:sz w:val="28"/>
          <w:szCs w:val="28"/>
          <w14:textFill>
            <w14:solidFill>
              <w14:schemeClr w14:val="tx1"/>
            </w14:solidFill>
          </w14:textFill>
        </w:rPr>
        <w:t>]</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2学时</w:t>
      </w:r>
    </w:p>
    <w:p>
      <w:pPr>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[基本内容</w:t>
      </w:r>
      <w:r>
        <w:rPr>
          <w:rFonts w:ascii="黑体" w:hAnsi="黑体" w:eastAsia="黑体"/>
          <w:color w:val="000000" w:themeColor="text1"/>
          <w:sz w:val="28"/>
          <w:szCs w:val="28"/>
          <w14:textFill>
            <w14:solidFill>
              <w14:schemeClr w14:val="tx1"/>
            </w14:solidFill>
          </w14:textFill>
        </w:rPr>
        <w:t>]</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w:t>
      </w:r>
      <w:r>
        <w:rPr>
          <w:rFonts w:asciiTheme="majorEastAsia" w:hAnsiTheme="majorEastAsia" w:eastAsiaTheme="majorEastAsia"/>
          <w:color w:val="000000" w:themeColor="text1"/>
          <w:sz w:val="24"/>
          <w14:textFill>
            <w14:solidFill>
              <w14:schemeClr w14:val="tx1"/>
            </w14:solidFill>
          </w14:textFill>
        </w:rPr>
        <w:t>中华人民共和国执业医师法</w:t>
      </w:r>
      <w:r>
        <w:rPr>
          <w:rFonts w:hint="eastAsia" w:asciiTheme="majorEastAsia" w:hAnsiTheme="majorEastAsia" w:eastAsiaTheme="majorEastAsia"/>
          <w:color w:val="000000" w:themeColor="text1"/>
          <w:sz w:val="24"/>
          <w14:textFill>
            <w14:solidFill>
              <w14:schemeClr w14:val="tx1"/>
            </w14:solidFill>
          </w14:textFill>
        </w:rPr>
        <w:t>》</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2.《医疗事故处理条例》</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 《</w:t>
      </w:r>
      <w:r>
        <w:rPr>
          <w:rFonts w:asciiTheme="majorEastAsia" w:hAnsiTheme="majorEastAsia" w:eastAsiaTheme="majorEastAsia"/>
          <w:color w:val="000000" w:themeColor="text1"/>
          <w:sz w:val="24"/>
          <w14:textFill>
            <w14:solidFill>
              <w14:schemeClr w14:val="tx1"/>
            </w14:solidFill>
          </w14:textFill>
        </w:rPr>
        <w:t>中华人民共和国</w:t>
      </w:r>
      <w:r>
        <w:rPr>
          <w:rFonts w:hint="eastAsia" w:asciiTheme="majorEastAsia" w:hAnsiTheme="majorEastAsia" w:eastAsiaTheme="majorEastAsia"/>
          <w:color w:val="000000" w:themeColor="text1"/>
          <w:sz w:val="24"/>
          <w14:textFill>
            <w14:solidFill>
              <w14:schemeClr w14:val="tx1"/>
            </w14:solidFill>
          </w14:textFill>
        </w:rPr>
        <w:t>侵权责任法》</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 《病历书写基本规范》</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5．医疗纠纷与风险防范</w:t>
      </w:r>
    </w:p>
    <w:p>
      <w:pPr>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[教学方法及时间分配</w:t>
      </w:r>
      <w:r>
        <w:rPr>
          <w:rFonts w:ascii="黑体" w:hAnsi="黑体" w:eastAsia="黑体"/>
          <w:color w:val="000000" w:themeColor="text1"/>
          <w:sz w:val="28"/>
          <w:szCs w:val="28"/>
          <w14:textFill>
            <w14:solidFill>
              <w14:schemeClr w14:val="tx1"/>
            </w14:solidFill>
          </w14:textFill>
        </w:rPr>
        <w:t>]</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访谈（在医务处或医院医患沟通办公室访谈相关教师），了解医疗纠纷处理的基本流程。时间为2学时。</w:t>
      </w:r>
    </w:p>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第二单元 医患沟通</w:t>
      </w:r>
    </w:p>
    <w:p>
      <w:pPr>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[基本要求]</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1．掌握医患沟通的理论基础</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2．基本掌握患者赋权和患者报告结局的概念及应用</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3.了解我国医患关系的现状</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4、拓展医患沟通面临的问题及挑战</w:t>
      </w:r>
    </w:p>
    <w:p>
      <w:pPr>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[教学时数</w:t>
      </w:r>
      <w:r>
        <w:rPr>
          <w:rFonts w:ascii="黑体" w:hAnsi="黑体" w:eastAsia="黑体"/>
          <w:color w:val="000000" w:themeColor="text1"/>
          <w:sz w:val="28"/>
          <w:szCs w:val="28"/>
          <w14:textFill>
            <w14:solidFill>
              <w14:schemeClr w14:val="tx1"/>
            </w14:solidFill>
          </w14:textFill>
        </w:rPr>
        <w:t>]</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asciiTheme="majorEastAsia" w:hAnsiTheme="majorEastAsia" w:eastAsiaTheme="majorEastAsia"/>
          <w:color w:val="000000" w:themeColor="text1"/>
          <w:sz w:val="24"/>
          <w14:textFill>
            <w14:solidFill>
              <w14:schemeClr w14:val="tx1"/>
            </w14:solidFill>
          </w14:textFill>
        </w:rPr>
        <w:t>2</w:t>
      </w:r>
      <w:r>
        <w:rPr>
          <w:rFonts w:hint="eastAsia" w:asciiTheme="majorEastAsia" w:hAnsiTheme="majorEastAsia" w:eastAsiaTheme="majorEastAsia"/>
          <w:color w:val="000000" w:themeColor="text1"/>
          <w:sz w:val="24"/>
          <w14:textFill>
            <w14:solidFill>
              <w14:schemeClr w14:val="tx1"/>
            </w14:solidFill>
          </w14:textFill>
        </w:rPr>
        <w:t xml:space="preserve">学时 </w:t>
      </w:r>
      <w:r>
        <w:rPr>
          <w:rFonts w:asciiTheme="majorEastAsia" w:hAnsiTheme="majorEastAsia" w:eastAsiaTheme="majorEastAsia"/>
          <w:color w:val="000000" w:themeColor="text1"/>
          <w:sz w:val="24"/>
          <w14:textFill>
            <w14:solidFill>
              <w14:schemeClr w14:val="tx1"/>
            </w14:solidFill>
          </w14:textFill>
        </w:rPr>
        <w:t xml:space="preserve">   </w:t>
      </w:r>
    </w:p>
    <w:p>
      <w:pPr>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[基本内容]</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1．医患沟通概述</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2．医患沟通的心理学基础</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3．医患沟通的伦理学基础</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4．医患沟通的法律基础</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5、患者赋权的概念</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6．患者报告结局（P</w:t>
      </w:r>
      <w:r>
        <w:rPr>
          <w:rFonts w:asciiTheme="majorEastAsia" w:hAnsiTheme="majorEastAsia" w:eastAsiaTheme="majorEastAsia"/>
          <w:color w:val="000000" w:themeColor="text1"/>
          <w:sz w:val="24"/>
          <w14:textFill>
            <w14:solidFill>
              <w14:schemeClr w14:val="tx1"/>
            </w14:solidFill>
          </w14:textFill>
        </w:rPr>
        <w:t>atient Reported Outcomes</w:t>
      </w:r>
      <w:r>
        <w:rPr>
          <w:rFonts w:hint="eastAsia" w:asciiTheme="majorEastAsia" w:hAnsiTheme="majorEastAsia" w:eastAsiaTheme="majorEastAsia"/>
          <w:color w:val="000000" w:themeColor="text1"/>
          <w:sz w:val="24"/>
          <w14:textFill>
            <w14:solidFill>
              <w14:schemeClr w14:val="tx1"/>
            </w14:solidFill>
          </w14:textFill>
        </w:rPr>
        <w:t>，P</w:t>
      </w:r>
      <w:r>
        <w:rPr>
          <w:rFonts w:asciiTheme="majorEastAsia" w:hAnsiTheme="majorEastAsia" w:eastAsiaTheme="majorEastAsia"/>
          <w:color w:val="000000" w:themeColor="text1"/>
          <w:sz w:val="24"/>
          <w14:textFill>
            <w14:solidFill>
              <w14:schemeClr w14:val="tx1"/>
            </w14:solidFill>
          </w14:textFill>
        </w:rPr>
        <w:t>RO</w:t>
      </w:r>
      <w:r>
        <w:rPr>
          <w:rFonts w:hint="eastAsia" w:asciiTheme="majorEastAsia" w:hAnsiTheme="majorEastAsia" w:eastAsiaTheme="majorEastAsia"/>
          <w:color w:val="000000" w:themeColor="text1"/>
          <w:sz w:val="24"/>
          <w14:textFill>
            <w14:solidFill>
              <w14:schemeClr w14:val="tx1"/>
            </w14:solidFill>
          </w14:textFill>
        </w:rPr>
        <w:t>）的概念及应用</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7、我国医患关系的现状与分析</w:t>
      </w:r>
    </w:p>
    <w:p>
      <w:pPr>
        <w:spacing w:line="360" w:lineRule="auto"/>
        <w:jc w:val="left"/>
        <w:rPr>
          <w:rFonts w:ascii="黑体" w:hAnsi="黑体" w:eastAsia="黑体"/>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t>[</w:t>
      </w:r>
      <w:r>
        <w:rPr>
          <w:rFonts w:hint="eastAsia" w:ascii="黑体" w:hAnsi="黑体" w:eastAsia="黑体"/>
          <w:color w:val="000000" w:themeColor="text1"/>
          <w:sz w:val="28"/>
          <w:szCs w:val="28"/>
          <w14:textFill>
            <w14:solidFill>
              <w14:schemeClr w14:val="tx1"/>
            </w14:solidFill>
          </w14:textFill>
        </w:rPr>
        <w:t>教学方法与时间分配</w:t>
      </w:r>
      <w:r>
        <w:rPr>
          <w:rFonts w:ascii="黑体" w:hAnsi="黑体" w:eastAsia="黑体"/>
          <w:color w:val="000000" w:themeColor="text1"/>
          <w:sz w:val="28"/>
          <w:szCs w:val="28"/>
          <w14:textFill>
            <w14:solidFill>
              <w14:schemeClr w14:val="tx1"/>
            </w14:solidFill>
          </w14:textFill>
        </w:rPr>
        <w:t>]</w:t>
      </w:r>
    </w:p>
    <w:p>
      <w:pPr>
        <w:spacing w:line="360" w:lineRule="auto"/>
        <w:ind w:firstLine="480" w:firstLineChars="200"/>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在门急诊见习与模拟练习，了解问诊的内容与方法，在教师的指导下，选择典型病例进</w:t>
      </w:r>
    </w:p>
    <w:p>
      <w:pPr>
        <w:spacing w:line="360" w:lineRule="auto"/>
        <w:rPr>
          <w:rFonts w:ascii="黑体" w:hAnsi="黑体" w:eastAsia="黑体"/>
          <w:color w:val="000000" w:themeColor="text1"/>
          <w:sz w:val="28"/>
          <w:szCs w:val="28"/>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行问诊，采集病史。时间为</w:t>
      </w:r>
      <w:r>
        <w:rPr>
          <w:rFonts w:asciiTheme="majorEastAsia" w:hAnsiTheme="majorEastAsia" w:eastAsiaTheme="majorEastAsia"/>
          <w:color w:val="000000" w:themeColor="text1"/>
          <w:sz w:val="24"/>
          <w14:textFill>
            <w14:solidFill>
              <w14:schemeClr w14:val="tx1"/>
            </w14:solidFill>
          </w14:textFill>
        </w:rPr>
        <w:t>2</w:t>
      </w:r>
      <w:r>
        <w:rPr>
          <w:rFonts w:hint="eastAsia" w:asciiTheme="majorEastAsia" w:hAnsiTheme="majorEastAsia" w:eastAsiaTheme="majorEastAsia"/>
          <w:color w:val="000000" w:themeColor="text1"/>
          <w:sz w:val="24"/>
          <w14:textFill>
            <w14:solidFill>
              <w14:schemeClr w14:val="tx1"/>
            </w14:solidFill>
          </w14:textFill>
        </w:rPr>
        <w:t xml:space="preserve">学时。 </w:t>
      </w:r>
      <w:r>
        <w:rPr>
          <w:rFonts w:asciiTheme="majorEastAsia" w:hAnsiTheme="majorEastAsia" w:eastAsiaTheme="majorEastAsia"/>
          <w:color w:val="000000" w:themeColor="text1"/>
          <w:sz w:val="24"/>
          <w14:textFill>
            <w14:solidFill>
              <w14:schemeClr w14:val="tx1"/>
            </w14:solidFill>
          </w14:textFill>
        </w:rPr>
        <w:t xml:space="preserve">   </w:t>
      </w:r>
      <w:r>
        <w:rPr>
          <w:rFonts w:asciiTheme="majorEastAsia" w:hAnsiTheme="majorEastAsia" w:eastAsiaTheme="majorEastAsia"/>
          <w:color w:val="000000" w:themeColor="text1"/>
          <w:sz w:val="24"/>
          <w14:textFill>
            <w14:solidFill>
              <w14:schemeClr w14:val="tx1"/>
            </w14:solidFill>
          </w14:textFill>
        </w:rPr>
        <w:br w:type="textWrapping"/>
      </w:r>
      <w:r>
        <w:rPr>
          <w:rFonts w:asciiTheme="majorEastAsia" w:hAnsiTheme="majorEastAsia" w:eastAsiaTheme="majorEastAsia"/>
          <w:color w:val="000000" w:themeColor="text1"/>
          <w:sz w:val="24"/>
          <w14:textFill>
            <w14:solidFill>
              <w14:schemeClr w14:val="tx1"/>
            </w14:solidFill>
          </w14:textFill>
        </w:rPr>
        <w:t xml:space="preserve">                       </w:t>
      </w:r>
      <w:r>
        <w:rPr>
          <w:rFonts w:ascii="黑体" w:hAnsi="黑体" w:eastAsia="黑体"/>
          <w:color w:val="000000" w:themeColor="text1"/>
          <w:sz w:val="28"/>
          <w:szCs w:val="28"/>
          <w14:textFill>
            <w14:solidFill>
              <w14:schemeClr w14:val="tx1"/>
            </w14:solidFill>
          </w14:textFill>
        </w:rPr>
        <w:t xml:space="preserve"> </w:t>
      </w:r>
    </w:p>
    <w:p>
      <w:pPr>
        <w:spacing w:line="360" w:lineRule="auto"/>
        <w:jc w:val="center"/>
        <w:rPr>
          <w:rFonts w:asciiTheme="majorEastAsia" w:hAnsiTheme="majorEastAsia" w:eastAsiaTheme="majorEastAsia"/>
          <w:color w:val="000000" w:themeColor="text1"/>
          <w:sz w:val="24"/>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第三单元 临床沟通技巧</w:t>
      </w:r>
    </w:p>
    <w:p>
      <w:pPr>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[基本要求]</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w:t>
      </w:r>
      <w:r>
        <w:rPr>
          <w:rFonts w:asciiTheme="majorEastAsia" w:hAnsiTheme="majorEastAsia" w:eastAsiaTheme="majorEastAsia"/>
          <w:color w:val="000000" w:themeColor="text1"/>
          <w:sz w:val="24"/>
          <w14:textFill>
            <w14:solidFill>
              <w14:schemeClr w14:val="tx1"/>
            </w14:solidFill>
          </w14:textFill>
        </w:rPr>
        <w:t>.</w:t>
      </w:r>
      <w:r>
        <w:rPr>
          <w:rFonts w:hint="eastAsia" w:asciiTheme="majorEastAsia" w:hAnsiTheme="majorEastAsia" w:eastAsiaTheme="majorEastAsia"/>
          <w:color w:val="000000" w:themeColor="text1"/>
          <w:sz w:val="24"/>
          <w14:textFill>
            <w14:solidFill>
              <w14:schemeClr w14:val="tx1"/>
            </w14:solidFill>
          </w14:textFill>
        </w:rPr>
        <w:t>掌握医患沟通中医学生应具有的能力和素质</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2</w:t>
      </w:r>
      <w:r>
        <w:rPr>
          <w:rFonts w:asciiTheme="majorEastAsia" w:hAnsiTheme="majorEastAsia" w:eastAsiaTheme="majorEastAsia"/>
          <w:color w:val="000000" w:themeColor="text1"/>
          <w:sz w:val="24"/>
          <w14:textFill>
            <w14:solidFill>
              <w14:schemeClr w14:val="tx1"/>
            </w14:solidFill>
          </w14:textFill>
        </w:rPr>
        <w:t>.</w:t>
      </w:r>
      <w:r>
        <w:rPr>
          <w:rFonts w:hint="eastAsia" w:asciiTheme="majorEastAsia" w:hAnsiTheme="majorEastAsia" w:eastAsiaTheme="majorEastAsia"/>
          <w:color w:val="000000" w:themeColor="text1"/>
          <w:sz w:val="24"/>
          <w14:textFill>
            <w14:solidFill>
              <w14:schemeClr w14:val="tx1"/>
            </w14:solidFill>
          </w14:textFill>
        </w:rPr>
        <w:t>基本掌握医患沟通的核心技能</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3</w:t>
      </w:r>
      <w:r>
        <w:rPr>
          <w:rFonts w:asciiTheme="majorEastAsia" w:hAnsiTheme="majorEastAsia" w:eastAsiaTheme="majorEastAsia"/>
          <w:color w:val="000000" w:themeColor="text1"/>
          <w:sz w:val="24"/>
          <w14:textFill>
            <w14:solidFill>
              <w14:schemeClr w14:val="tx1"/>
            </w14:solidFill>
          </w14:textFill>
        </w:rPr>
        <w:t>.</w:t>
      </w:r>
      <w:r>
        <w:rPr>
          <w:rFonts w:hint="eastAsia" w:asciiTheme="majorEastAsia" w:hAnsiTheme="majorEastAsia" w:eastAsiaTheme="majorEastAsia"/>
          <w:color w:val="000000" w:themeColor="text1"/>
          <w:sz w:val="24"/>
          <w14:textFill>
            <w14:solidFill>
              <w14:schemeClr w14:val="tx1"/>
            </w14:solidFill>
          </w14:textFill>
        </w:rPr>
        <w:t>了解国外医患关系现状及经验</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4．拓展新型医学生医患沟通能力培养模式面临的问题及挑战</w:t>
      </w:r>
    </w:p>
    <w:p>
      <w:pPr>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[教学时数</w:t>
      </w:r>
      <w:r>
        <w:rPr>
          <w:rFonts w:ascii="黑体" w:hAnsi="黑体" w:eastAsia="黑体"/>
          <w:color w:val="000000" w:themeColor="text1"/>
          <w:sz w:val="28"/>
          <w:szCs w:val="28"/>
          <w14:textFill>
            <w14:solidFill>
              <w14:schemeClr w14:val="tx1"/>
            </w14:solidFill>
          </w14:textFill>
        </w:rPr>
        <w:t>]</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asciiTheme="majorEastAsia" w:hAnsiTheme="majorEastAsia" w:eastAsiaTheme="majorEastAsia"/>
          <w:color w:val="000000" w:themeColor="text1"/>
          <w:sz w:val="24"/>
          <w14:textFill>
            <w14:solidFill>
              <w14:schemeClr w14:val="tx1"/>
            </w14:solidFill>
          </w14:textFill>
        </w:rPr>
        <w:t>2</w:t>
      </w:r>
      <w:r>
        <w:rPr>
          <w:rFonts w:hint="eastAsia" w:asciiTheme="majorEastAsia" w:hAnsiTheme="majorEastAsia" w:eastAsiaTheme="majorEastAsia"/>
          <w:color w:val="000000" w:themeColor="text1"/>
          <w:sz w:val="24"/>
          <w14:textFill>
            <w14:solidFill>
              <w14:schemeClr w14:val="tx1"/>
            </w14:solidFill>
          </w14:textFill>
        </w:rPr>
        <w:t xml:space="preserve">学时 </w:t>
      </w:r>
      <w:r>
        <w:rPr>
          <w:rFonts w:asciiTheme="majorEastAsia" w:hAnsiTheme="majorEastAsia" w:eastAsiaTheme="majorEastAsia"/>
          <w:color w:val="000000" w:themeColor="text1"/>
          <w:sz w:val="24"/>
          <w14:textFill>
            <w14:solidFill>
              <w14:schemeClr w14:val="tx1"/>
            </w14:solidFill>
          </w14:textFill>
        </w:rPr>
        <w:t xml:space="preserve">   </w:t>
      </w:r>
    </w:p>
    <w:p>
      <w:pPr>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[基本内容]</w:t>
      </w:r>
    </w:p>
    <w:p>
      <w:pPr>
        <w:pStyle w:val="11"/>
        <w:numPr>
          <w:ilvl w:val="0"/>
          <w:numId w:val="12"/>
        </w:numPr>
        <w:spacing w:line="360" w:lineRule="auto"/>
        <w:ind w:firstLineChars="0"/>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医患沟通中医学生应具有的能力和素质</w:t>
      </w:r>
    </w:p>
    <w:p>
      <w:pPr>
        <w:pStyle w:val="11"/>
        <w:numPr>
          <w:ilvl w:val="0"/>
          <w:numId w:val="12"/>
        </w:numPr>
        <w:spacing w:line="360" w:lineRule="auto"/>
        <w:ind w:firstLineChars="0"/>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医患沟通的基本技能概述</w:t>
      </w:r>
    </w:p>
    <w:p>
      <w:pPr>
        <w:numPr>
          <w:ilvl w:val="0"/>
          <w:numId w:val="12"/>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倾听技巧</w:t>
      </w:r>
    </w:p>
    <w:p>
      <w:pPr>
        <w:numPr>
          <w:ilvl w:val="0"/>
          <w:numId w:val="12"/>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语言沟通技巧</w:t>
      </w:r>
    </w:p>
    <w:p>
      <w:pPr>
        <w:numPr>
          <w:ilvl w:val="0"/>
          <w:numId w:val="12"/>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非语言沟通技巧</w:t>
      </w:r>
    </w:p>
    <w:p>
      <w:pPr>
        <w:numPr>
          <w:ilvl w:val="0"/>
          <w:numId w:val="12"/>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化解冲突中的沟通技巧</w:t>
      </w:r>
    </w:p>
    <w:p>
      <w:pPr>
        <w:numPr>
          <w:ilvl w:val="0"/>
          <w:numId w:val="12"/>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应急时刻的沟通技巧</w:t>
      </w:r>
    </w:p>
    <w:p>
      <w:pPr>
        <w:numPr>
          <w:ilvl w:val="0"/>
          <w:numId w:val="12"/>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与特殊患者的沟通技巧</w:t>
      </w:r>
    </w:p>
    <w:p>
      <w:pPr>
        <w:numPr>
          <w:ilvl w:val="0"/>
          <w:numId w:val="12"/>
        </w:num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医患纠纷处理中的沟通技巧</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10.国外医患沟通现状及经验</w:t>
      </w:r>
    </w:p>
    <w:p>
      <w:pPr>
        <w:spacing w:line="360" w:lineRule="auto"/>
        <w:jc w:val="left"/>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[教学方法与时间分配</w:t>
      </w:r>
      <w:r>
        <w:rPr>
          <w:rFonts w:ascii="黑体" w:hAnsi="黑体" w:eastAsia="黑体"/>
          <w:color w:val="000000" w:themeColor="text1"/>
          <w:sz w:val="28"/>
          <w:szCs w:val="28"/>
          <w14:textFill>
            <w14:solidFill>
              <w14:schemeClr w14:val="tx1"/>
            </w14:solidFill>
          </w14:textFill>
        </w:rPr>
        <w:t>]</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在病房见习与模拟练习。时间为</w:t>
      </w:r>
      <w:r>
        <w:rPr>
          <w:rFonts w:asciiTheme="majorEastAsia" w:hAnsiTheme="majorEastAsia" w:eastAsiaTheme="majorEastAsia"/>
          <w:color w:val="000000" w:themeColor="text1"/>
          <w:sz w:val="24"/>
          <w14:textFill>
            <w14:solidFill>
              <w14:schemeClr w14:val="tx1"/>
            </w14:solidFill>
          </w14:textFill>
        </w:rPr>
        <w:t>2</w:t>
      </w:r>
      <w:r>
        <w:rPr>
          <w:rFonts w:hint="eastAsia" w:asciiTheme="majorEastAsia" w:hAnsiTheme="majorEastAsia" w:eastAsiaTheme="majorEastAsia"/>
          <w:color w:val="000000" w:themeColor="text1"/>
          <w:sz w:val="24"/>
          <w14:textFill>
            <w14:solidFill>
              <w14:schemeClr w14:val="tx1"/>
            </w14:solidFill>
          </w14:textFill>
        </w:rPr>
        <w:t xml:space="preserve">学时。 </w:t>
      </w:r>
      <w:r>
        <w:rPr>
          <w:rFonts w:asciiTheme="majorEastAsia" w:hAnsiTheme="majorEastAsia" w:eastAsiaTheme="majorEastAsia"/>
          <w:color w:val="000000" w:themeColor="text1"/>
          <w:sz w:val="24"/>
          <w14:textFill>
            <w14:solidFill>
              <w14:schemeClr w14:val="tx1"/>
            </w14:solidFill>
          </w14:textFill>
        </w:rPr>
        <w:t xml:space="preserve">    </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交待病情：在教师指导下，了解患者的病情，熟悉向病人交待病情的方法，学会独立并熟练的向病人介绍病情的诊断及治疗过程以及可能的变化。</w:t>
      </w:r>
    </w:p>
    <w:p>
      <w:pPr>
        <w:spacing w:line="360" w:lineRule="auto"/>
        <w:jc w:val="left"/>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术前谈话：在教师指导下，熟悉术前谈话的方法，能够独立并熟练的向手术病人介绍病情和手术中可能出现的变化，既让病人了解手术的风险，又消除病人的紧张情绪。</w:t>
      </w:r>
    </w:p>
    <w:p>
      <w:pPr>
        <w:pStyle w:val="11"/>
        <w:spacing w:line="360" w:lineRule="auto"/>
        <w:ind w:left="360" w:firstLine="0" w:firstLineChars="0"/>
        <w:rPr>
          <w:rFonts w:asciiTheme="majorEastAsia" w:hAnsiTheme="majorEastAsia" w:eastAsiaTheme="majorEastAsia"/>
          <w:color w:val="000000" w:themeColor="text1"/>
          <w:sz w:val="24"/>
          <w:highlight w:val="yellow"/>
          <w14:textFill>
            <w14:solidFill>
              <w14:schemeClr w14:val="tx1"/>
            </w14:solidFill>
          </w14:textFill>
        </w:rPr>
      </w:pPr>
    </w:p>
    <w:p>
      <w:pPr>
        <w:spacing w:line="360" w:lineRule="auto"/>
        <w:rPr>
          <w:rFonts w:asciiTheme="majorEastAsia" w:hAnsiTheme="majorEastAsia" w:eastAsiaTheme="majorEastAsia"/>
          <w:color w:val="000000" w:themeColor="text1"/>
          <w:sz w:val="24"/>
          <w:highlight w:val="yellow"/>
          <w14:textFill>
            <w14:solidFill>
              <w14:schemeClr w14:val="tx1"/>
            </w14:solidFill>
          </w14:textFill>
        </w:rPr>
      </w:pPr>
    </w:p>
    <w:p>
      <w:pPr>
        <w:spacing w:line="360" w:lineRule="auto"/>
        <w:rPr>
          <w:rFonts w:asciiTheme="majorEastAsia" w:hAnsiTheme="majorEastAsia" w:eastAsiaTheme="majorEastAsia"/>
          <w:color w:val="000000" w:themeColor="text1"/>
          <w:sz w:val="24"/>
          <w:highlight w:val="yellow"/>
          <w14:textFill>
            <w14:solidFill>
              <w14:schemeClr w14:val="tx1"/>
            </w14:solidFill>
          </w14:textFill>
        </w:rPr>
      </w:pPr>
    </w:p>
    <w:p>
      <w:pPr>
        <w:spacing w:line="360" w:lineRule="auto"/>
        <w:rPr>
          <w:rFonts w:asciiTheme="majorEastAsia" w:hAnsiTheme="majorEastAsia" w:eastAsiaTheme="majorEastAsia"/>
          <w:color w:val="000000" w:themeColor="text1"/>
          <w:sz w:val="24"/>
          <w:highlight w:val="yellow"/>
          <w14:textFill>
            <w14:solidFill>
              <w14:schemeClr w14:val="tx1"/>
            </w14:solidFill>
          </w14:textFill>
        </w:rPr>
      </w:pPr>
    </w:p>
    <w:p>
      <w:pPr>
        <w:spacing w:line="360" w:lineRule="auto"/>
        <w:rPr>
          <w:rFonts w:asciiTheme="majorEastAsia" w:hAnsiTheme="majorEastAsia" w:eastAsiaTheme="majorEastAsia"/>
          <w:color w:val="000000" w:themeColor="text1"/>
          <w:sz w:val="24"/>
          <w:highlight w:val="yellow"/>
          <w14:textFill>
            <w14:solidFill>
              <w14:schemeClr w14:val="tx1"/>
            </w14:solidFill>
          </w14:textFill>
        </w:rPr>
      </w:pP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 xml:space="preserve"> </w:t>
      </w:r>
      <w:r>
        <w:rPr>
          <w:rFonts w:asciiTheme="majorEastAsia" w:hAnsiTheme="majorEastAsia" w:eastAsiaTheme="majorEastAsia"/>
          <w:color w:val="000000" w:themeColor="text1"/>
          <w:sz w:val="24"/>
          <w14:textFill>
            <w14:solidFill>
              <w14:schemeClr w14:val="tx1"/>
            </w14:solidFill>
          </w14:textFill>
        </w:rPr>
        <w:t xml:space="preserve">                                        </w:t>
      </w:r>
      <w:r>
        <w:rPr>
          <w:rFonts w:hint="eastAsia" w:asciiTheme="majorEastAsia" w:hAnsiTheme="majorEastAsia" w:eastAsiaTheme="majorEastAsia"/>
          <w:color w:val="000000" w:themeColor="text1"/>
          <w:sz w:val="24"/>
          <w14:textFill>
            <w14:solidFill>
              <w14:schemeClr w14:val="tx1"/>
            </w14:solidFill>
          </w14:textFill>
        </w:rPr>
        <w:t>课程负责人：贾强</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hint="eastAsia" w:asciiTheme="majorEastAsia" w:hAnsiTheme="majorEastAsia" w:eastAsiaTheme="majorEastAsia"/>
          <w:color w:val="000000" w:themeColor="text1"/>
          <w:sz w:val="24"/>
          <w14:textFill>
            <w14:solidFill>
              <w14:schemeClr w14:val="tx1"/>
            </w14:solidFill>
          </w14:textFill>
        </w:rPr>
        <w:t xml:space="preserve"> </w:t>
      </w:r>
      <w:r>
        <w:rPr>
          <w:rFonts w:asciiTheme="majorEastAsia" w:hAnsiTheme="majorEastAsia" w:eastAsiaTheme="majorEastAsia"/>
          <w:color w:val="000000" w:themeColor="text1"/>
          <w:sz w:val="24"/>
          <w14:textFill>
            <w14:solidFill>
              <w14:schemeClr w14:val="tx1"/>
            </w14:solidFill>
          </w14:textFill>
        </w:rPr>
        <w:t xml:space="preserve">                                        </w:t>
      </w:r>
      <w:r>
        <w:rPr>
          <w:rFonts w:hint="eastAsia" w:asciiTheme="majorEastAsia" w:hAnsiTheme="majorEastAsia" w:eastAsiaTheme="majorEastAsia"/>
          <w:color w:val="000000" w:themeColor="text1"/>
          <w:sz w:val="24"/>
          <w14:textFill>
            <w14:solidFill>
              <w14:schemeClr w14:val="tx1"/>
            </w14:solidFill>
          </w14:textFill>
        </w:rPr>
        <w:t>学系/教研室主任：贾强</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asciiTheme="majorEastAsia" w:hAnsiTheme="majorEastAsia" w:eastAsiaTheme="majorEastAsia"/>
          <w:color w:val="000000" w:themeColor="text1"/>
          <w:sz w:val="24"/>
          <w14:textFill>
            <w14:solidFill>
              <w14:schemeClr w14:val="tx1"/>
            </w14:solidFill>
          </w14:textFill>
        </w:rPr>
        <w:t xml:space="preserve">                                         </w:t>
      </w:r>
      <w:r>
        <w:rPr>
          <w:rFonts w:hint="eastAsia" w:asciiTheme="majorEastAsia" w:hAnsiTheme="majorEastAsia" w:eastAsiaTheme="majorEastAsia"/>
          <w:color w:val="000000" w:themeColor="text1"/>
          <w:sz w:val="24"/>
          <w14:textFill>
            <w14:solidFill>
              <w14:schemeClr w14:val="tx1"/>
            </w14:solidFill>
          </w14:textFill>
        </w:rPr>
        <w:t>学院负责人：卢洁</w:t>
      </w:r>
    </w:p>
    <w:p>
      <w:pPr>
        <w:spacing w:line="360" w:lineRule="auto"/>
        <w:rPr>
          <w:rFonts w:asciiTheme="majorEastAsia" w:hAnsiTheme="majorEastAsia" w:eastAsiaTheme="majorEastAsia"/>
          <w:color w:val="000000" w:themeColor="text1"/>
          <w:sz w:val="24"/>
          <w14:textFill>
            <w14:solidFill>
              <w14:schemeClr w14:val="tx1"/>
            </w14:solidFill>
          </w14:textFill>
        </w:rPr>
      </w:pPr>
      <w:r>
        <w:rPr>
          <w:rFonts w:asciiTheme="majorEastAsia" w:hAnsiTheme="majorEastAsia" w:eastAsiaTheme="majorEastAsia"/>
          <w:color w:val="000000" w:themeColor="text1"/>
          <w:sz w:val="24"/>
          <w14:textFill>
            <w14:solidFill>
              <w14:schemeClr w14:val="tx1"/>
            </w14:solidFill>
          </w14:textFill>
        </w:rPr>
        <w:t xml:space="preserve">                                         </w:t>
      </w:r>
      <w:r>
        <w:rPr>
          <w:rFonts w:hint="eastAsia" w:asciiTheme="majorEastAsia" w:hAnsiTheme="majorEastAsia" w:eastAsiaTheme="majorEastAsia"/>
          <w:color w:val="000000" w:themeColor="text1"/>
          <w:sz w:val="24"/>
          <w14:textFill>
            <w14:solidFill>
              <w14:schemeClr w14:val="tx1"/>
            </w14:solidFill>
          </w14:textFill>
        </w:rPr>
        <w:t>制定/修订日期：2</w:t>
      </w:r>
      <w:r>
        <w:rPr>
          <w:rFonts w:asciiTheme="majorEastAsia" w:hAnsiTheme="majorEastAsia" w:eastAsiaTheme="majorEastAsia"/>
          <w:color w:val="000000" w:themeColor="text1"/>
          <w:sz w:val="24"/>
          <w14:textFill>
            <w14:solidFill>
              <w14:schemeClr w14:val="tx1"/>
            </w14:solidFill>
          </w14:textFill>
        </w:rPr>
        <w:t xml:space="preserve">021.8.23 </w:t>
      </w:r>
    </w:p>
    <w:sectPr>
      <w:headerReference r:id="rId3" w:type="default"/>
      <w:footerReference r:id="rId4" w:type="default"/>
      <w:footerReference r:id="rId5"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12</w:t>
    </w:r>
    <w:r>
      <w:rPr>
        <w:rStyle w:val="9"/>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D45423"/>
    <w:multiLevelType w:val="multilevel"/>
    <w:tmpl w:val="01D45423"/>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8A978A9"/>
    <w:multiLevelType w:val="multilevel"/>
    <w:tmpl w:val="08A978A9"/>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4AE7D5A"/>
    <w:multiLevelType w:val="multilevel"/>
    <w:tmpl w:val="14AE7D5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CB04586"/>
    <w:multiLevelType w:val="multilevel"/>
    <w:tmpl w:val="1CB04586"/>
    <w:lvl w:ilvl="0" w:tentative="0">
      <w:start w:val="1"/>
      <w:numFmt w:val="japaneseCounting"/>
      <w:lvlText w:val="%1、"/>
      <w:lvlJc w:val="left"/>
      <w:pPr>
        <w:tabs>
          <w:tab w:val="left" w:pos="720"/>
        </w:tabs>
        <w:ind w:left="720" w:hanging="720"/>
      </w:pPr>
      <w:rPr>
        <w:rFonts w:hint="eastAsia"/>
        <w:b w:val="0"/>
        <w:bCs w:val="0"/>
      </w:rPr>
    </w:lvl>
    <w:lvl w:ilvl="1" w:tentative="0">
      <w:start w:val="1"/>
      <w:numFmt w:val="japaneseCounting"/>
      <w:lvlText w:val="（%2）"/>
      <w:lvlJc w:val="left"/>
      <w:pPr>
        <w:tabs>
          <w:tab w:val="left" w:pos="1140"/>
        </w:tabs>
        <w:ind w:left="1140" w:hanging="7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37A37FA"/>
    <w:multiLevelType w:val="multilevel"/>
    <w:tmpl w:val="237A37F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C5626BD"/>
    <w:multiLevelType w:val="multilevel"/>
    <w:tmpl w:val="2C5626BD"/>
    <w:lvl w:ilvl="0" w:tentative="0">
      <w:start w:val="1"/>
      <w:numFmt w:val="japaneseCounting"/>
      <w:lvlText w:val="第%1章"/>
      <w:lvlJc w:val="left"/>
      <w:pPr>
        <w:tabs>
          <w:tab w:val="left" w:pos="1080"/>
        </w:tabs>
        <w:ind w:left="1080" w:hanging="10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EB75A9C"/>
    <w:multiLevelType w:val="multilevel"/>
    <w:tmpl w:val="2EB75A9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65D3FA0"/>
    <w:multiLevelType w:val="multilevel"/>
    <w:tmpl w:val="365D3FA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83F05FB"/>
    <w:multiLevelType w:val="multilevel"/>
    <w:tmpl w:val="383F05F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4E37107"/>
    <w:multiLevelType w:val="multilevel"/>
    <w:tmpl w:val="44E3710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81D4969"/>
    <w:multiLevelType w:val="multilevel"/>
    <w:tmpl w:val="481D496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8472998"/>
    <w:multiLevelType w:val="multilevel"/>
    <w:tmpl w:val="6847299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7"/>
  </w:num>
  <w:num w:numId="4">
    <w:abstractNumId w:val="5"/>
  </w:num>
  <w:num w:numId="5">
    <w:abstractNumId w:val="1"/>
  </w:num>
  <w:num w:numId="6">
    <w:abstractNumId w:val="8"/>
  </w:num>
  <w:num w:numId="7">
    <w:abstractNumId w:val="10"/>
  </w:num>
  <w:num w:numId="8">
    <w:abstractNumId w:val="0"/>
  </w:num>
  <w:num w:numId="9">
    <w:abstractNumId w:val="4"/>
  </w:num>
  <w:num w:numId="10">
    <w:abstractNumId w:val="11"/>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CAB"/>
    <w:rsid w:val="000034F7"/>
    <w:rsid w:val="00003F63"/>
    <w:rsid w:val="00004101"/>
    <w:rsid w:val="00014D34"/>
    <w:rsid w:val="00021ABD"/>
    <w:rsid w:val="00023759"/>
    <w:rsid w:val="000275DB"/>
    <w:rsid w:val="000277EF"/>
    <w:rsid w:val="00041FF3"/>
    <w:rsid w:val="00042B18"/>
    <w:rsid w:val="00045DCB"/>
    <w:rsid w:val="00046E36"/>
    <w:rsid w:val="00053001"/>
    <w:rsid w:val="00056828"/>
    <w:rsid w:val="00061C16"/>
    <w:rsid w:val="00061D0C"/>
    <w:rsid w:val="00064421"/>
    <w:rsid w:val="00070543"/>
    <w:rsid w:val="0007139C"/>
    <w:rsid w:val="000738ED"/>
    <w:rsid w:val="00087082"/>
    <w:rsid w:val="00090B80"/>
    <w:rsid w:val="000B151D"/>
    <w:rsid w:val="000B27ED"/>
    <w:rsid w:val="000B57D2"/>
    <w:rsid w:val="000B5A2F"/>
    <w:rsid w:val="000C5219"/>
    <w:rsid w:val="000D1488"/>
    <w:rsid w:val="000D629F"/>
    <w:rsid w:val="000E4D1A"/>
    <w:rsid w:val="000F3D95"/>
    <w:rsid w:val="000F6CAB"/>
    <w:rsid w:val="000F7D34"/>
    <w:rsid w:val="00101753"/>
    <w:rsid w:val="00102709"/>
    <w:rsid w:val="00106C13"/>
    <w:rsid w:val="00113CA6"/>
    <w:rsid w:val="00116F79"/>
    <w:rsid w:val="00121D6E"/>
    <w:rsid w:val="0012498C"/>
    <w:rsid w:val="00124AF8"/>
    <w:rsid w:val="0012649A"/>
    <w:rsid w:val="0013071B"/>
    <w:rsid w:val="001360DE"/>
    <w:rsid w:val="00142A5E"/>
    <w:rsid w:val="00147457"/>
    <w:rsid w:val="00162173"/>
    <w:rsid w:val="0016326B"/>
    <w:rsid w:val="0016467B"/>
    <w:rsid w:val="00170EC9"/>
    <w:rsid w:val="001747A1"/>
    <w:rsid w:val="00181EDC"/>
    <w:rsid w:val="001907E9"/>
    <w:rsid w:val="001B2305"/>
    <w:rsid w:val="001B5D8D"/>
    <w:rsid w:val="001C6A8F"/>
    <w:rsid w:val="001E040C"/>
    <w:rsid w:val="001F53B6"/>
    <w:rsid w:val="001F6873"/>
    <w:rsid w:val="001F7798"/>
    <w:rsid w:val="00201DFB"/>
    <w:rsid w:val="002107DC"/>
    <w:rsid w:val="00211D31"/>
    <w:rsid w:val="00212C01"/>
    <w:rsid w:val="002155A4"/>
    <w:rsid w:val="00217DAE"/>
    <w:rsid w:val="002204CF"/>
    <w:rsid w:val="00227003"/>
    <w:rsid w:val="00232725"/>
    <w:rsid w:val="002338BD"/>
    <w:rsid w:val="00236AA4"/>
    <w:rsid w:val="0024185E"/>
    <w:rsid w:val="002433D8"/>
    <w:rsid w:val="00244506"/>
    <w:rsid w:val="00245386"/>
    <w:rsid w:val="00265B82"/>
    <w:rsid w:val="0027007A"/>
    <w:rsid w:val="002736EC"/>
    <w:rsid w:val="0027392D"/>
    <w:rsid w:val="002746F9"/>
    <w:rsid w:val="00274F54"/>
    <w:rsid w:val="00275B77"/>
    <w:rsid w:val="002773D6"/>
    <w:rsid w:val="00280BE4"/>
    <w:rsid w:val="002854A4"/>
    <w:rsid w:val="00292158"/>
    <w:rsid w:val="002A0752"/>
    <w:rsid w:val="002A07F2"/>
    <w:rsid w:val="002A644F"/>
    <w:rsid w:val="002B53AA"/>
    <w:rsid w:val="002B5797"/>
    <w:rsid w:val="002C2EFC"/>
    <w:rsid w:val="002C521A"/>
    <w:rsid w:val="002C61A3"/>
    <w:rsid w:val="002D5096"/>
    <w:rsid w:val="002E4C49"/>
    <w:rsid w:val="002E55E5"/>
    <w:rsid w:val="002E63B7"/>
    <w:rsid w:val="002F10AA"/>
    <w:rsid w:val="002F2F48"/>
    <w:rsid w:val="002F424F"/>
    <w:rsid w:val="002F4B1C"/>
    <w:rsid w:val="002F7D81"/>
    <w:rsid w:val="00307D8F"/>
    <w:rsid w:val="00311F1D"/>
    <w:rsid w:val="0031657D"/>
    <w:rsid w:val="00316D2B"/>
    <w:rsid w:val="00317BDB"/>
    <w:rsid w:val="00321262"/>
    <w:rsid w:val="003309A7"/>
    <w:rsid w:val="00334C39"/>
    <w:rsid w:val="0034199A"/>
    <w:rsid w:val="00347602"/>
    <w:rsid w:val="00351E27"/>
    <w:rsid w:val="00353E7F"/>
    <w:rsid w:val="0035743D"/>
    <w:rsid w:val="00361D61"/>
    <w:rsid w:val="0036287A"/>
    <w:rsid w:val="00363066"/>
    <w:rsid w:val="003734CD"/>
    <w:rsid w:val="00375766"/>
    <w:rsid w:val="00375C31"/>
    <w:rsid w:val="00384E2A"/>
    <w:rsid w:val="003948A7"/>
    <w:rsid w:val="00396837"/>
    <w:rsid w:val="003A1950"/>
    <w:rsid w:val="003A3069"/>
    <w:rsid w:val="003A50B9"/>
    <w:rsid w:val="003B7F4B"/>
    <w:rsid w:val="003C4098"/>
    <w:rsid w:val="003D0C45"/>
    <w:rsid w:val="003D1183"/>
    <w:rsid w:val="003D4CD5"/>
    <w:rsid w:val="003E49A5"/>
    <w:rsid w:val="003F0472"/>
    <w:rsid w:val="0040020F"/>
    <w:rsid w:val="00401A2A"/>
    <w:rsid w:val="00401ACC"/>
    <w:rsid w:val="004020A6"/>
    <w:rsid w:val="00405947"/>
    <w:rsid w:val="00415C1E"/>
    <w:rsid w:val="00415D76"/>
    <w:rsid w:val="00424293"/>
    <w:rsid w:val="00425A84"/>
    <w:rsid w:val="0043183A"/>
    <w:rsid w:val="00432488"/>
    <w:rsid w:val="00442128"/>
    <w:rsid w:val="004478E0"/>
    <w:rsid w:val="00452036"/>
    <w:rsid w:val="00460C81"/>
    <w:rsid w:val="00462222"/>
    <w:rsid w:val="00472E19"/>
    <w:rsid w:val="00475551"/>
    <w:rsid w:val="00476115"/>
    <w:rsid w:val="004819FB"/>
    <w:rsid w:val="00492238"/>
    <w:rsid w:val="004A4E0E"/>
    <w:rsid w:val="004A63D4"/>
    <w:rsid w:val="004B2031"/>
    <w:rsid w:val="004B5D60"/>
    <w:rsid w:val="004B69D8"/>
    <w:rsid w:val="004C028F"/>
    <w:rsid w:val="004C059B"/>
    <w:rsid w:val="004C401B"/>
    <w:rsid w:val="004C49CA"/>
    <w:rsid w:val="004C5405"/>
    <w:rsid w:val="004D2BCF"/>
    <w:rsid w:val="004D6B68"/>
    <w:rsid w:val="004E4FA3"/>
    <w:rsid w:val="004F602E"/>
    <w:rsid w:val="0051026E"/>
    <w:rsid w:val="0051076F"/>
    <w:rsid w:val="005134CA"/>
    <w:rsid w:val="0051733B"/>
    <w:rsid w:val="00526056"/>
    <w:rsid w:val="00531DB3"/>
    <w:rsid w:val="005341F1"/>
    <w:rsid w:val="00535A0F"/>
    <w:rsid w:val="00536A7F"/>
    <w:rsid w:val="00540542"/>
    <w:rsid w:val="0054272C"/>
    <w:rsid w:val="00553D7B"/>
    <w:rsid w:val="005604F4"/>
    <w:rsid w:val="00561B4D"/>
    <w:rsid w:val="00562D7F"/>
    <w:rsid w:val="005658BF"/>
    <w:rsid w:val="005658C5"/>
    <w:rsid w:val="005851B6"/>
    <w:rsid w:val="0058549D"/>
    <w:rsid w:val="0058608A"/>
    <w:rsid w:val="00591E36"/>
    <w:rsid w:val="00592AC8"/>
    <w:rsid w:val="005A170A"/>
    <w:rsid w:val="005A409C"/>
    <w:rsid w:val="005A45DD"/>
    <w:rsid w:val="005A47DB"/>
    <w:rsid w:val="005B0C7C"/>
    <w:rsid w:val="005B7C82"/>
    <w:rsid w:val="005C723D"/>
    <w:rsid w:val="005C7BE9"/>
    <w:rsid w:val="005D4E24"/>
    <w:rsid w:val="005E42A5"/>
    <w:rsid w:val="005E4B07"/>
    <w:rsid w:val="005F0B17"/>
    <w:rsid w:val="005F4B97"/>
    <w:rsid w:val="005F540B"/>
    <w:rsid w:val="00600380"/>
    <w:rsid w:val="0060308E"/>
    <w:rsid w:val="0060738F"/>
    <w:rsid w:val="00611883"/>
    <w:rsid w:val="00617058"/>
    <w:rsid w:val="00617254"/>
    <w:rsid w:val="006211D2"/>
    <w:rsid w:val="006272C5"/>
    <w:rsid w:val="00630FD2"/>
    <w:rsid w:val="0063360B"/>
    <w:rsid w:val="00637848"/>
    <w:rsid w:val="00637A6E"/>
    <w:rsid w:val="00642045"/>
    <w:rsid w:val="006477CD"/>
    <w:rsid w:val="00650330"/>
    <w:rsid w:val="006509DC"/>
    <w:rsid w:val="0065132B"/>
    <w:rsid w:val="00651C33"/>
    <w:rsid w:val="00652756"/>
    <w:rsid w:val="00657052"/>
    <w:rsid w:val="00661841"/>
    <w:rsid w:val="00663148"/>
    <w:rsid w:val="00664849"/>
    <w:rsid w:val="00671262"/>
    <w:rsid w:val="006733CC"/>
    <w:rsid w:val="00674C53"/>
    <w:rsid w:val="00676858"/>
    <w:rsid w:val="006847A7"/>
    <w:rsid w:val="00685690"/>
    <w:rsid w:val="00686FDF"/>
    <w:rsid w:val="0069298F"/>
    <w:rsid w:val="0069438B"/>
    <w:rsid w:val="00694828"/>
    <w:rsid w:val="00696E61"/>
    <w:rsid w:val="006978F2"/>
    <w:rsid w:val="006A66B9"/>
    <w:rsid w:val="006A6CD6"/>
    <w:rsid w:val="006A762F"/>
    <w:rsid w:val="006A7A94"/>
    <w:rsid w:val="006A7BFD"/>
    <w:rsid w:val="006B2975"/>
    <w:rsid w:val="006B3965"/>
    <w:rsid w:val="006C0A88"/>
    <w:rsid w:val="006C5ED5"/>
    <w:rsid w:val="006C6206"/>
    <w:rsid w:val="006D3C68"/>
    <w:rsid w:val="006D7932"/>
    <w:rsid w:val="006E4BED"/>
    <w:rsid w:val="006E7ED0"/>
    <w:rsid w:val="006F1E4D"/>
    <w:rsid w:val="006F3E0B"/>
    <w:rsid w:val="00702E70"/>
    <w:rsid w:val="00706420"/>
    <w:rsid w:val="00711AE9"/>
    <w:rsid w:val="0071476D"/>
    <w:rsid w:val="00715DA1"/>
    <w:rsid w:val="00726862"/>
    <w:rsid w:val="0073110B"/>
    <w:rsid w:val="00734E04"/>
    <w:rsid w:val="00740638"/>
    <w:rsid w:val="007509A8"/>
    <w:rsid w:val="00750C17"/>
    <w:rsid w:val="00751134"/>
    <w:rsid w:val="00765C87"/>
    <w:rsid w:val="00772659"/>
    <w:rsid w:val="007757AF"/>
    <w:rsid w:val="00777077"/>
    <w:rsid w:val="007803FD"/>
    <w:rsid w:val="00781BE5"/>
    <w:rsid w:val="00792392"/>
    <w:rsid w:val="007928ED"/>
    <w:rsid w:val="00793667"/>
    <w:rsid w:val="0079557A"/>
    <w:rsid w:val="007972F8"/>
    <w:rsid w:val="007A0AAA"/>
    <w:rsid w:val="007A154F"/>
    <w:rsid w:val="007A17A7"/>
    <w:rsid w:val="007A54BC"/>
    <w:rsid w:val="007B078B"/>
    <w:rsid w:val="007B5193"/>
    <w:rsid w:val="007C329D"/>
    <w:rsid w:val="007D7DA8"/>
    <w:rsid w:val="007E2860"/>
    <w:rsid w:val="007E42CA"/>
    <w:rsid w:val="007F2E57"/>
    <w:rsid w:val="007F6165"/>
    <w:rsid w:val="007F6F45"/>
    <w:rsid w:val="008026FB"/>
    <w:rsid w:val="00803139"/>
    <w:rsid w:val="00803A0F"/>
    <w:rsid w:val="00804B51"/>
    <w:rsid w:val="00813C95"/>
    <w:rsid w:val="0081603F"/>
    <w:rsid w:val="00823969"/>
    <w:rsid w:val="00823B2E"/>
    <w:rsid w:val="00825609"/>
    <w:rsid w:val="008263B1"/>
    <w:rsid w:val="00831B2D"/>
    <w:rsid w:val="00834C62"/>
    <w:rsid w:val="008416F7"/>
    <w:rsid w:val="008431A6"/>
    <w:rsid w:val="008459A2"/>
    <w:rsid w:val="00847B4C"/>
    <w:rsid w:val="0085028C"/>
    <w:rsid w:val="00852BBE"/>
    <w:rsid w:val="00853729"/>
    <w:rsid w:val="0085424B"/>
    <w:rsid w:val="008619A9"/>
    <w:rsid w:val="00862A0C"/>
    <w:rsid w:val="00865B1A"/>
    <w:rsid w:val="00866180"/>
    <w:rsid w:val="00866829"/>
    <w:rsid w:val="00867047"/>
    <w:rsid w:val="008728FE"/>
    <w:rsid w:val="0087424A"/>
    <w:rsid w:val="008746AB"/>
    <w:rsid w:val="00874934"/>
    <w:rsid w:val="00874999"/>
    <w:rsid w:val="00874CD9"/>
    <w:rsid w:val="00883D22"/>
    <w:rsid w:val="008868B6"/>
    <w:rsid w:val="00895A0F"/>
    <w:rsid w:val="00895A2A"/>
    <w:rsid w:val="008A03B7"/>
    <w:rsid w:val="008A2430"/>
    <w:rsid w:val="008C5612"/>
    <w:rsid w:val="008C7063"/>
    <w:rsid w:val="008C7C70"/>
    <w:rsid w:val="008D268F"/>
    <w:rsid w:val="008D34B2"/>
    <w:rsid w:val="008D51B5"/>
    <w:rsid w:val="008E3678"/>
    <w:rsid w:val="008F2C43"/>
    <w:rsid w:val="00903658"/>
    <w:rsid w:val="00903CC3"/>
    <w:rsid w:val="009124C6"/>
    <w:rsid w:val="009132A2"/>
    <w:rsid w:val="00921E73"/>
    <w:rsid w:val="009269BA"/>
    <w:rsid w:val="0092777E"/>
    <w:rsid w:val="00935150"/>
    <w:rsid w:val="0093632D"/>
    <w:rsid w:val="00942545"/>
    <w:rsid w:val="0094492D"/>
    <w:rsid w:val="00945520"/>
    <w:rsid w:val="00966268"/>
    <w:rsid w:val="0097145F"/>
    <w:rsid w:val="00972FF4"/>
    <w:rsid w:val="00976143"/>
    <w:rsid w:val="00982614"/>
    <w:rsid w:val="00985363"/>
    <w:rsid w:val="00985F36"/>
    <w:rsid w:val="009872DB"/>
    <w:rsid w:val="009936F7"/>
    <w:rsid w:val="00993E54"/>
    <w:rsid w:val="00995560"/>
    <w:rsid w:val="00995E00"/>
    <w:rsid w:val="009960FB"/>
    <w:rsid w:val="00997BEB"/>
    <w:rsid w:val="00997EF8"/>
    <w:rsid w:val="009A0831"/>
    <w:rsid w:val="009A22C7"/>
    <w:rsid w:val="009A2CF0"/>
    <w:rsid w:val="009A5B9D"/>
    <w:rsid w:val="009B0E23"/>
    <w:rsid w:val="009B29B9"/>
    <w:rsid w:val="009B3E6B"/>
    <w:rsid w:val="009B5AF2"/>
    <w:rsid w:val="009B7661"/>
    <w:rsid w:val="009C1018"/>
    <w:rsid w:val="009C365B"/>
    <w:rsid w:val="009C4E8E"/>
    <w:rsid w:val="009C7B01"/>
    <w:rsid w:val="009D0343"/>
    <w:rsid w:val="009E2617"/>
    <w:rsid w:val="009E2AFE"/>
    <w:rsid w:val="009F1C96"/>
    <w:rsid w:val="009F1D3D"/>
    <w:rsid w:val="009F5552"/>
    <w:rsid w:val="00A07BBB"/>
    <w:rsid w:val="00A10AE1"/>
    <w:rsid w:val="00A119D7"/>
    <w:rsid w:val="00A208FD"/>
    <w:rsid w:val="00A218CE"/>
    <w:rsid w:val="00A22E00"/>
    <w:rsid w:val="00A25395"/>
    <w:rsid w:val="00A26488"/>
    <w:rsid w:val="00A4273D"/>
    <w:rsid w:val="00A44727"/>
    <w:rsid w:val="00A47F09"/>
    <w:rsid w:val="00A50521"/>
    <w:rsid w:val="00A518EC"/>
    <w:rsid w:val="00A51E6C"/>
    <w:rsid w:val="00A60E53"/>
    <w:rsid w:val="00A64389"/>
    <w:rsid w:val="00A65D20"/>
    <w:rsid w:val="00A74BED"/>
    <w:rsid w:val="00A81575"/>
    <w:rsid w:val="00AA57F5"/>
    <w:rsid w:val="00AA763E"/>
    <w:rsid w:val="00AB1075"/>
    <w:rsid w:val="00AB7DD3"/>
    <w:rsid w:val="00AC22F1"/>
    <w:rsid w:val="00AD33B6"/>
    <w:rsid w:val="00AD7E39"/>
    <w:rsid w:val="00AE2084"/>
    <w:rsid w:val="00AE6719"/>
    <w:rsid w:val="00AF1062"/>
    <w:rsid w:val="00B00D51"/>
    <w:rsid w:val="00B105FD"/>
    <w:rsid w:val="00B13A54"/>
    <w:rsid w:val="00B17312"/>
    <w:rsid w:val="00B269A7"/>
    <w:rsid w:val="00B31B2E"/>
    <w:rsid w:val="00B3349F"/>
    <w:rsid w:val="00B36835"/>
    <w:rsid w:val="00B448B7"/>
    <w:rsid w:val="00B51A8D"/>
    <w:rsid w:val="00B5263B"/>
    <w:rsid w:val="00B5559F"/>
    <w:rsid w:val="00B56199"/>
    <w:rsid w:val="00B60C27"/>
    <w:rsid w:val="00B63FDE"/>
    <w:rsid w:val="00B651C4"/>
    <w:rsid w:val="00B7025B"/>
    <w:rsid w:val="00B70958"/>
    <w:rsid w:val="00B71CCD"/>
    <w:rsid w:val="00B747D3"/>
    <w:rsid w:val="00B76719"/>
    <w:rsid w:val="00B7689B"/>
    <w:rsid w:val="00B83AE3"/>
    <w:rsid w:val="00B840FA"/>
    <w:rsid w:val="00B849EA"/>
    <w:rsid w:val="00B9197C"/>
    <w:rsid w:val="00B9668D"/>
    <w:rsid w:val="00BA087C"/>
    <w:rsid w:val="00BA36AC"/>
    <w:rsid w:val="00BA432A"/>
    <w:rsid w:val="00BA6027"/>
    <w:rsid w:val="00BB1D72"/>
    <w:rsid w:val="00BB785D"/>
    <w:rsid w:val="00BD59CE"/>
    <w:rsid w:val="00BE0C25"/>
    <w:rsid w:val="00BF0021"/>
    <w:rsid w:val="00BF4FF9"/>
    <w:rsid w:val="00BF54A3"/>
    <w:rsid w:val="00C02FF0"/>
    <w:rsid w:val="00C0383A"/>
    <w:rsid w:val="00C11237"/>
    <w:rsid w:val="00C11DC5"/>
    <w:rsid w:val="00C15CCB"/>
    <w:rsid w:val="00C20BDE"/>
    <w:rsid w:val="00C21194"/>
    <w:rsid w:val="00C26301"/>
    <w:rsid w:val="00C27BBA"/>
    <w:rsid w:val="00C4751D"/>
    <w:rsid w:val="00C52FDB"/>
    <w:rsid w:val="00C6426F"/>
    <w:rsid w:val="00C64C8B"/>
    <w:rsid w:val="00C65371"/>
    <w:rsid w:val="00C66128"/>
    <w:rsid w:val="00C67CA8"/>
    <w:rsid w:val="00C70EFB"/>
    <w:rsid w:val="00C71C2E"/>
    <w:rsid w:val="00C93788"/>
    <w:rsid w:val="00C96092"/>
    <w:rsid w:val="00CA4106"/>
    <w:rsid w:val="00CA5B7A"/>
    <w:rsid w:val="00CB10B4"/>
    <w:rsid w:val="00CB6572"/>
    <w:rsid w:val="00CC2408"/>
    <w:rsid w:val="00CC3FB0"/>
    <w:rsid w:val="00CC5821"/>
    <w:rsid w:val="00CD0121"/>
    <w:rsid w:val="00CF0E63"/>
    <w:rsid w:val="00D02352"/>
    <w:rsid w:val="00D030C7"/>
    <w:rsid w:val="00D03B44"/>
    <w:rsid w:val="00D10855"/>
    <w:rsid w:val="00D1555D"/>
    <w:rsid w:val="00D2027D"/>
    <w:rsid w:val="00D203AC"/>
    <w:rsid w:val="00D267CF"/>
    <w:rsid w:val="00D3048D"/>
    <w:rsid w:val="00D31510"/>
    <w:rsid w:val="00D343C3"/>
    <w:rsid w:val="00D368A3"/>
    <w:rsid w:val="00D40218"/>
    <w:rsid w:val="00D43BA3"/>
    <w:rsid w:val="00D44A5F"/>
    <w:rsid w:val="00D47F93"/>
    <w:rsid w:val="00D51B06"/>
    <w:rsid w:val="00D55E2E"/>
    <w:rsid w:val="00D567D3"/>
    <w:rsid w:val="00D57704"/>
    <w:rsid w:val="00D61746"/>
    <w:rsid w:val="00D64A9E"/>
    <w:rsid w:val="00D70E7D"/>
    <w:rsid w:val="00D806A9"/>
    <w:rsid w:val="00D817F7"/>
    <w:rsid w:val="00DA03D1"/>
    <w:rsid w:val="00DA0C85"/>
    <w:rsid w:val="00DA1CD4"/>
    <w:rsid w:val="00DA7266"/>
    <w:rsid w:val="00DB23C6"/>
    <w:rsid w:val="00DB2AD6"/>
    <w:rsid w:val="00DC11CD"/>
    <w:rsid w:val="00DC1579"/>
    <w:rsid w:val="00DC3DAD"/>
    <w:rsid w:val="00DC5DFD"/>
    <w:rsid w:val="00DD1377"/>
    <w:rsid w:val="00DD3355"/>
    <w:rsid w:val="00DD4D06"/>
    <w:rsid w:val="00DE0BD1"/>
    <w:rsid w:val="00DE4166"/>
    <w:rsid w:val="00DF00F5"/>
    <w:rsid w:val="00DF5729"/>
    <w:rsid w:val="00E0186F"/>
    <w:rsid w:val="00E06146"/>
    <w:rsid w:val="00E1181A"/>
    <w:rsid w:val="00E153B0"/>
    <w:rsid w:val="00E23326"/>
    <w:rsid w:val="00E24DDA"/>
    <w:rsid w:val="00E279C5"/>
    <w:rsid w:val="00E46600"/>
    <w:rsid w:val="00E46C06"/>
    <w:rsid w:val="00E55301"/>
    <w:rsid w:val="00E629B8"/>
    <w:rsid w:val="00E65F00"/>
    <w:rsid w:val="00E71945"/>
    <w:rsid w:val="00E77D56"/>
    <w:rsid w:val="00E82EB9"/>
    <w:rsid w:val="00E83AB3"/>
    <w:rsid w:val="00E87EFA"/>
    <w:rsid w:val="00E96E99"/>
    <w:rsid w:val="00EA276A"/>
    <w:rsid w:val="00EA6B12"/>
    <w:rsid w:val="00EB1E74"/>
    <w:rsid w:val="00EC3396"/>
    <w:rsid w:val="00ED09EB"/>
    <w:rsid w:val="00ED2F7B"/>
    <w:rsid w:val="00ED389D"/>
    <w:rsid w:val="00ED69A4"/>
    <w:rsid w:val="00EE1EC7"/>
    <w:rsid w:val="00EF0ADA"/>
    <w:rsid w:val="00EF157C"/>
    <w:rsid w:val="00F054F4"/>
    <w:rsid w:val="00F05E68"/>
    <w:rsid w:val="00F068A2"/>
    <w:rsid w:val="00F1310B"/>
    <w:rsid w:val="00F20148"/>
    <w:rsid w:val="00F205D9"/>
    <w:rsid w:val="00F26689"/>
    <w:rsid w:val="00F3275E"/>
    <w:rsid w:val="00F32E6A"/>
    <w:rsid w:val="00F415E0"/>
    <w:rsid w:val="00F45BFD"/>
    <w:rsid w:val="00F511DD"/>
    <w:rsid w:val="00F5273A"/>
    <w:rsid w:val="00F54D02"/>
    <w:rsid w:val="00F649BD"/>
    <w:rsid w:val="00F65348"/>
    <w:rsid w:val="00F74C65"/>
    <w:rsid w:val="00F818F8"/>
    <w:rsid w:val="00F87979"/>
    <w:rsid w:val="00F9258E"/>
    <w:rsid w:val="00F92A4F"/>
    <w:rsid w:val="00F9336E"/>
    <w:rsid w:val="00F94C58"/>
    <w:rsid w:val="00F96D99"/>
    <w:rsid w:val="00FA2004"/>
    <w:rsid w:val="00FA4C73"/>
    <w:rsid w:val="00FA56C4"/>
    <w:rsid w:val="00FA6328"/>
    <w:rsid w:val="00FA779C"/>
    <w:rsid w:val="00FB47D4"/>
    <w:rsid w:val="00FB4E75"/>
    <w:rsid w:val="00FC0040"/>
    <w:rsid w:val="00FC2C6C"/>
    <w:rsid w:val="00FC54C3"/>
    <w:rsid w:val="00FC6BE0"/>
    <w:rsid w:val="00FD1E1F"/>
    <w:rsid w:val="00FD4104"/>
    <w:rsid w:val="00FD7F8E"/>
    <w:rsid w:val="00FE5A0A"/>
    <w:rsid w:val="00FF1046"/>
    <w:rsid w:val="00FF5A66"/>
    <w:rsid w:val="00FF716A"/>
    <w:rsid w:val="4BD66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semiHidden/>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uiPriority w:val="0"/>
  </w:style>
  <w:style w:type="character" w:styleId="10">
    <w:name w:val="Hyperlink"/>
    <w:basedOn w:val="8"/>
    <w:unhideWhenUsed/>
    <w:uiPriority w:val="0"/>
    <w:rPr>
      <w:color w:val="0000FF" w:themeColor="hyperlink"/>
      <w:u w:val="single"/>
      <w14:textFill>
        <w14:solidFill>
          <w14:schemeClr w14:val="hlink"/>
        </w14:solidFill>
      </w14:textFill>
    </w:rPr>
  </w:style>
  <w:style w:type="paragraph" w:styleId="11">
    <w:name w:val="List Paragraph"/>
    <w:basedOn w:val="1"/>
    <w:qFormat/>
    <w:uiPriority w:val="0"/>
    <w:pPr>
      <w:ind w:firstLine="420" w:firstLineChars="200"/>
    </w:pPr>
    <w:rPr>
      <w:rFonts w:ascii="Calibri" w:hAnsi="Calibri"/>
      <w:szCs w:val="22"/>
    </w:rPr>
  </w:style>
  <w:style w:type="character" w:customStyle="1" w:styleId="12">
    <w:name w:val="未处理的提及1"/>
    <w:basedOn w:val="8"/>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C74FE-7ED6-4102-B0D1-80860387A524}">
  <ds:schemaRefs/>
</ds:datastoreItem>
</file>

<file path=docProps/app.xml><?xml version="1.0" encoding="utf-8"?>
<Properties xmlns="http://schemas.openxmlformats.org/officeDocument/2006/extended-properties" xmlns:vt="http://schemas.openxmlformats.org/officeDocument/2006/docPropsVTypes">
  <Template>Normal</Template>
  <Company>soft.netnest.com.cn</Company>
  <Pages>11</Pages>
  <Words>801</Words>
  <Characters>4570</Characters>
  <Lines>38</Lines>
  <Paragraphs>10</Paragraphs>
  <TotalTime>142</TotalTime>
  <ScaleCrop>false</ScaleCrop>
  <LinksUpToDate>false</LinksUpToDate>
  <CharactersWithSpaces>5361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2021-09-01T05:42:00Z</dcterms:created>
  <dc:creator>软件仓库</dc:creator>
  <cp:lastModifiedBy>19900045</cp:lastModifiedBy>
  <cp:lastPrinted>2014-03-14T01:23:00Z</cp:lastPrinted>
  <dcterms:modified xsi:type="dcterms:W3CDTF">2024-09-05T01:24:17Z</dcterms:modified>
  <dc:title>课程编码：</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5FE9A061057344D5AFDADB4B98A06ECD_13</vt:lpwstr>
  </property>
</Properties>
</file>