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TW"/>
        </w:rPr>
        <w:t>年首都医科大学校级教育教学研究课题</w:t>
      </w:r>
    </w:p>
    <w:p>
      <w:pPr>
        <w:pStyle w:val="11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zh-TW" w:eastAsia="zh-TW"/>
        </w:rPr>
        <w:t>申报指南</w:t>
      </w:r>
    </w:p>
    <w:p>
      <w:pPr>
        <w:pStyle w:val="11"/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pStyle w:val="11"/>
        <w:spacing w:line="440" w:lineRule="exact"/>
        <w:ind w:firstLine="560"/>
        <w:rPr>
          <w:rFonts w:ascii="宋体" w:hAnsi="宋体" w:eastAsia="宋体" w:cs="宋体"/>
          <w:sz w:val="28"/>
          <w:szCs w:val="28"/>
          <w:lang w:val="zh-TW" w:eastAsia="zh-TW"/>
        </w:rPr>
      </w:pPr>
    </w:p>
    <w:p>
      <w:pPr>
        <w:pStyle w:val="11"/>
        <w:spacing w:line="360" w:lineRule="auto"/>
        <w:ind w:firstLine="640" w:firstLineChars="200"/>
        <w:rPr>
          <w:rFonts w:hint="eastAsia" w:ascii="黑体" w:hAnsi="黑体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为有效推进学校教育教学改革工作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的深入开展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提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升学校人才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培养质量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特发布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年首都医科大学校级教育教学研究课题申报指南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请各学院按照指南要求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结合学院的实际情况和年度重点工作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启动学院教育教学研究课题申报评审工作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共同推进学校教育教学工作的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高质量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发展。</w:t>
      </w:r>
      <w:bookmarkStart w:id="0" w:name="_GoBack"/>
      <w:bookmarkEnd w:id="0"/>
    </w:p>
    <w:p>
      <w:pPr>
        <w:pStyle w:val="11"/>
        <w:spacing w:line="360" w:lineRule="auto"/>
        <w:ind w:left="0" w:firstLine="640" w:firstLineChars="200"/>
        <w:rPr>
          <w:rFonts w:hint="eastAsia" w:ascii="楷体" w:hAnsi="楷体" w:eastAsia="楷体" w:cs="楷体"/>
          <w:sz w:val="32"/>
          <w:szCs w:val="32"/>
          <w:lang w:val="zh-TW"/>
        </w:rPr>
      </w:pPr>
      <w:r>
        <w:rPr>
          <w:rFonts w:ascii="黑体" w:hAnsi="黑体" w:eastAsia="黑体" w:cs="仿宋"/>
          <w:sz w:val="32"/>
          <w:szCs w:val="32"/>
          <w:lang w:val="zh-TW" w:eastAsia="zh-TW"/>
        </w:rPr>
        <w:t>一、重点课题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val="zh-TW"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我校人才培养改革方案的深入推进</w:t>
      </w:r>
    </w:p>
    <w:p>
      <w:pPr>
        <w:pStyle w:val="11"/>
        <w:spacing w:line="360" w:lineRule="auto"/>
        <w:ind w:firstLine="640" w:firstLineChars="0"/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1</w:t>
      </w:r>
      <w:r>
        <w:rPr>
          <w:rFonts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复合型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CN"/>
        </w:rPr>
        <w:t>创新拔尖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高水平医学人才培养改革-首医阶平班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CN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承担阶平班教育教学任务的相关学院、教务处、研究生院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主责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CN"/>
        </w:rPr>
        <w:t>）</w:t>
      </w:r>
    </w:p>
    <w:p>
      <w:pPr>
        <w:pStyle w:val="11"/>
        <w:spacing w:line="360" w:lineRule="auto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临床医学、口腔医学（阶平班）本科直博（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PhD）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新培养模式的顶层设计；阶平班双导师制的探索与实施；阶平班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基础阶段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重点课程的内涵建设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与成效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阶平班临床阶段整合课程的建设探索；阶平班学生科研创新能力培养的探索与实施；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阶平班学生学籍管理、学业成绩考核与评价体系的探索与实施等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</w:p>
    <w:p>
      <w:pPr>
        <w:pStyle w:val="11"/>
        <w:spacing w:line="360" w:lineRule="auto"/>
        <w:ind w:firstLine="640" w:firstLineChars="0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课程大纲及教案、相关文件制度、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实施效果、公开发表文章等。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2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.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全方位公共卫生人才培养体系改革（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公共卫生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学院主责）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完善以岗位胜任力为导向的实战型公共卫生人才培养体系建设；培养具有应急能力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传染病防控能力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和慢病防控技能的公共卫生专业人才的探索与实践；深化医教研防合作，进一步发挥“三位一体”办学优势，探索公共卫生实习实训国家示范基地建设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</w:p>
    <w:p>
      <w:pPr>
        <w:pStyle w:val="11"/>
        <w:spacing w:line="360" w:lineRule="auto"/>
        <w:ind w:firstLine="56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方案、研究报告、实施效果、公开发表文章等。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PMingLiU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.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护理及助产专业人才培养改革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（护理学院主责）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复合型、跨学科高水平助产学专业人才培养体系及模式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的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探索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与实践；加强护理学专业人才培养国际化水平的探索与实践。</w:t>
      </w:r>
    </w:p>
    <w:p>
      <w:pPr>
        <w:pStyle w:val="11"/>
        <w:spacing w:line="360" w:lineRule="auto"/>
        <w:ind w:firstLine="56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方案、研究报告、实施效果、公开发表文章等。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.中医药学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人才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培养体系改革（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中医药学院主责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）</w:t>
      </w:r>
    </w:p>
    <w:p>
      <w:pPr>
        <w:pStyle w:val="17"/>
        <w:spacing w:line="360" w:lineRule="auto"/>
        <w:ind w:firstLine="560"/>
        <w:jc w:val="left"/>
        <w:rPr>
          <w:rFonts w:ascii="仿宋" w:hAnsi="仿宋" w:eastAsia="仿宋" w:cs="仿宋"/>
          <w:color w:val="000000"/>
          <w:sz w:val="32"/>
          <w:szCs w:val="32"/>
          <w:u w:color="000000"/>
          <w:lang w:val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en-US" w:eastAsia="zh-CN"/>
        </w:rPr>
        <w:t>包括：</w:t>
      </w: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zh-TW" w:eastAsia="zh-TW"/>
        </w:rPr>
        <w:t>中医药长学制本硕连读（基地班）人才培养模式的探索与实践；中医药长学制本硕连读实践基地建设的探索与实践；九年制中西医结合教育试点的探索与实践</w:t>
      </w:r>
      <w:r>
        <w:rPr>
          <w:rFonts w:hint="eastAsia" w:ascii="仿宋" w:hAnsi="仿宋" w:eastAsia="仿宋" w:cs="仿宋"/>
          <w:color w:val="000000"/>
          <w:sz w:val="32"/>
          <w:szCs w:val="32"/>
          <w:u w:color="000000"/>
          <w:lang w:val="zh-TW"/>
        </w:rPr>
        <w:t>。</w:t>
      </w:r>
    </w:p>
    <w:p>
      <w:pPr>
        <w:pStyle w:val="11"/>
        <w:spacing w:line="360" w:lineRule="auto"/>
        <w:ind w:firstLine="56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方案、研究报告、实施效果、公开发表文章等。</w:t>
      </w:r>
    </w:p>
    <w:p>
      <w:pPr>
        <w:spacing w:line="360" w:lineRule="auto"/>
        <w:ind w:firstLine="640" w:firstLineChars="200"/>
        <w:rPr>
          <w:rFonts w:ascii="仿宋" w:hAnsi="仿宋" w:eastAsia="PMingLiU" w:cs="仿宋"/>
          <w:color w:val="000000"/>
          <w:kern w:val="2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5</w:t>
      </w:r>
      <w:r>
        <w:rPr>
          <w:rFonts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“以器官系统为基础，以疾病为核心”的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eastAsia="zh-CN"/>
        </w:rPr>
        <w:t>临床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教学模式改革的深入推进（潞河医院主责）</w:t>
      </w:r>
    </w:p>
    <w:p>
      <w:pPr>
        <w:pStyle w:val="11"/>
        <w:spacing w:line="360" w:lineRule="auto"/>
        <w:ind w:firstLine="56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</w:t>
      </w:r>
      <w:r>
        <w:rPr>
          <w:rFonts w:hint="eastAsia" w:ascii="仿宋" w:hAnsi="仿宋" w:eastAsia="仿宋" w:cs="仿宋"/>
          <w:sz w:val="32"/>
          <w:szCs w:val="32"/>
        </w:rPr>
        <w:t>教学大纲、内部教材或讲义、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研究报告、实施效果、公开发表文章等。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6</w:t>
      </w:r>
      <w:r>
        <w:rPr>
          <w:rFonts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 xml:space="preserve"> 临床联合教研室建设改革（各联合教研室主责）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教师队伍同质化建设（带教教师师资培训、临床教师执证上岗）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的研究；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教学质量同质化（集体备课、教学大纲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、课程教材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编写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选用以及专项督查等）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的研究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以联合教研室为单位开展</w:t>
      </w:r>
      <w:r>
        <w:rPr>
          <w:rFonts w:hint="eastAsia" w:ascii="仿宋" w:hAnsi="仿宋" w:eastAsia="仿宋" w:cs="仿宋"/>
          <w:sz w:val="32"/>
          <w:szCs w:val="32"/>
        </w:rPr>
        <w:t>临床课程建设（线上课程、线上线下混合性课程）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强化考试管理同质化（题库建设、统一命制试题、同批考核专家进行评判等）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的研究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</w:t>
      </w:r>
      <w:r>
        <w:rPr>
          <w:rFonts w:hint="eastAsia" w:ascii="仿宋" w:hAnsi="仿宋" w:eastAsia="仿宋" w:cs="仿宋"/>
          <w:sz w:val="32"/>
          <w:szCs w:val="32"/>
        </w:rPr>
        <w:t>慕课、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研究报告、实施效果、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题库、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（二）教育部、北京市教委重点推进的本科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教学工作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“四新”背景下的本科专业内涵建设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专业人才培养方案制定研究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课程体系建设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实习实践与科学训练培养等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一流本科课程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基于课程平台、知识图谱等信息化技术开展的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线上课程、线下课程、线上线下混合式课程、虚拟仿真实验教学课程和社会实践课程建设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研究与探索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教育部新设置的5个新医科人才培养引导性专业研究及我校增设可行性分析。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en-US" w:eastAsia="zh-CN"/>
        </w:rPr>
        <w:t>药学院、公共卫生学院、护理学院、生物医学工程学院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color="000000"/>
          <w:lang w:val="zh-TW" w:eastAsia="zh-TW"/>
        </w:rPr>
        <w:t>主责）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可行性分析报告、</w:t>
      </w:r>
      <w:r>
        <w:rPr>
          <w:rFonts w:ascii="仿宋" w:hAnsi="仿宋" w:eastAsia="仿宋" w:cs="仿宋"/>
          <w:sz w:val="32"/>
          <w:szCs w:val="32"/>
          <w:highlight w:val="none"/>
          <w:lang w:val="zh-TW" w:eastAsia="zh-TW"/>
        </w:rPr>
        <w:t>实施效果、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优质在线课程</w:t>
      </w:r>
      <w:r>
        <w:rPr>
          <w:rFonts w:ascii="仿宋" w:hAnsi="仿宋" w:eastAsia="仿宋" w:cs="仿宋"/>
          <w:sz w:val="32"/>
          <w:szCs w:val="32"/>
          <w:highlight w:val="none"/>
          <w:lang w:val="zh-TW" w:eastAsia="zh-TW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建设及</w:t>
      </w:r>
      <w:r>
        <w:rPr>
          <w:rFonts w:ascii="仿宋" w:hAnsi="仿宋" w:eastAsia="仿宋" w:cs="仿宋"/>
          <w:sz w:val="32"/>
          <w:szCs w:val="32"/>
          <w:highlight w:val="none"/>
          <w:lang w:val="zh-TW" w:eastAsia="zh-TW"/>
        </w:rPr>
        <w:t>丰富完善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</w:t>
      </w:r>
      <w:r>
        <w:rPr>
          <w:rFonts w:ascii="仿宋" w:hAnsi="仿宋" w:eastAsia="仿宋" w:cs="仿宋"/>
          <w:sz w:val="32"/>
          <w:szCs w:val="32"/>
          <w:highlight w:val="none"/>
          <w:lang w:val="zh-TW" w:eastAsia="zh-TW"/>
        </w:rPr>
        <w:t>应用、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二、一般课题</w:t>
      </w:r>
    </w:p>
    <w:p>
      <w:pPr>
        <w:pStyle w:val="11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（一）本专科教育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新医科背景下，劳动教育、美育、体育等与人才培养的有机结合，提升医学生综合素质的研究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包括：劳动教育、美育、体育、健康教育、垃圾分类、绿色生态文明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生态环境建设等在人才培养方案、相关通识课程设置等方面的研究与探索。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标志性成果：具有医学特色的建设方案、研究报告、实施效果、公开发表文章等。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优质本科教案的建设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探索制定本科教案应涵盖的主要内容及设计方案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各门本科课程教案设计思路、创新点及实施实践探索。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</w:t>
      </w:r>
      <w:r>
        <w:rPr>
          <w:rFonts w:hint="eastAsia" w:ascii="仿宋" w:hAnsi="仿宋" w:eastAsia="仿宋" w:cs="仿宋"/>
          <w:sz w:val="32"/>
          <w:szCs w:val="32"/>
        </w:rPr>
        <w:t>本科课程教案设计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方案、研究报告、实施效果、公开发表文章等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在信息化背景下，以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学生自主学习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为核心开展的本专科教育教学改革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包括：适应社会发展需求的专业培养模式改革建设；教育教学模式的调整、教学内容的改革、教学方法的改革；加强学生参与性，增强学生创新意识和创新能力等方面的探索、改革和建设。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实施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方案、个案分析、研究报告、公开发表文章等。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其中教学模式与方法改革的成果需包括新的教案、课件、教学效果及评价等实证研究材料。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教学评价与考核方法改革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基于第四轮教育教学改革核心问题，包括：教学和学习内在规律的探索；教学评价的改进；过程性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考核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在课程教学中的应用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；依托</w:t>
      </w:r>
      <w:r>
        <w:rPr>
          <w:rFonts w:ascii="仿宋" w:hAnsi="仿宋" w:eastAsia="仿宋" w:cs="仿宋"/>
          <w:sz w:val="32"/>
          <w:szCs w:val="32"/>
          <w:lang w:val="zh-TW"/>
        </w:rPr>
        <w:t>考易平台开展在线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题库建设及应用；形成性</w:t>
      </w:r>
      <w:r>
        <w:rPr>
          <w:rFonts w:ascii="仿宋" w:hAnsi="仿宋" w:eastAsia="仿宋" w:cs="仿宋"/>
          <w:sz w:val="32"/>
          <w:szCs w:val="32"/>
          <w:lang w:val="zh-TW"/>
        </w:rPr>
        <w:t>评价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指导学生学业</w:t>
      </w:r>
      <w:r>
        <w:rPr>
          <w:rFonts w:ascii="仿宋" w:hAnsi="仿宋" w:eastAsia="仿宋" w:cs="仿宋"/>
          <w:sz w:val="32"/>
          <w:szCs w:val="32"/>
          <w:lang w:val="zh-TW"/>
        </w:rPr>
        <w:t>活动的探索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课程考试命题技术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标志性成果：建设方案、教学大纲、研究报告、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题库、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公开发表文章等。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课程思政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类教学研究与实践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以立德树人为导向，落实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首都医科大学课程思政实施方案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精神，进行课程思政教学改革，深入探索</w:t>
      </w:r>
      <w:r>
        <w:rPr>
          <w:rFonts w:ascii="仿宋" w:hAnsi="仿宋" w:eastAsia="仿宋" w:cs="仿宋"/>
          <w:sz w:val="32"/>
          <w:szCs w:val="32"/>
        </w:rPr>
        <w:t>“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课程思政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在教学过程中有机融合的研究及实践。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标志性成果：改革方案、实施成果、教学设计、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思政案例、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课程思政模块设计、课程思政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元素的提炼</w:t>
      </w:r>
      <w:r>
        <w:rPr>
          <w:rFonts w:ascii="仿宋" w:hAnsi="仿宋" w:eastAsia="仿宋" w:cs="仿宋"/>
          <w:sz w:val="32"/>
          <w:szCs w:val="32"/>
          <w:lang w:val="zh-TW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公开发表文章等。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教师队伍和教育教学管理队伍建设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包括：教师教学发展中心建设的深入研究；各二级学院师资队伍建设方案及措施；校院两级教育教学管理干部队伍建设的方案及措施。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MingLiU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标志性成果：建设制度方案、实证研究报告、公开发表文章等。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宋体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.教育部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高招改革政策分析与对策研究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分析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教育部的高招及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各省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的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高招改革政策与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方案，提出我校的应对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措施和招生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宣传策略，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以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吸引优秀生源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分析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研究报告、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招生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宣传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改革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方案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zh-TW"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）学位与研究生教育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研究生和导师综合评价模式探索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各学科研究生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课程（含课程思政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、在线课程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）和教材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研究生分流机制探索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学位论文质量保障体系建设与研究生培养质量监控研究；</w:t>
      </w:r>
      <w:r>
        <w:rPr>
          <w:rFonts w:hint="eastAsia" w:ascii="仿宋" w:hAnsi="仿宋" w:eastAsia="仿宋" w:cs="仿宋"/>
          <w:sz w:val="32"/>
          <w:szCs w:val="32"/>
        </w:rPr>
        <w:t>研究生创新创业教育改革研究；研究生心理健康教育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在人才培养</w:t>
      </w:r>
      <w:r>
        <w:rPr>
          <w:rFonts w:hint="eastAsia" w:ascii="仿宋" w:hAnsi="仿宋" w:eastAsia="仿宋" w:cs="仿宋"/>
          <w:sz w:val="32"/>
          <w:szCs w:val="32"/>
        </w:rPr>
        <w:t>中的作用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研究与</w:t>
      </w:r>
      <w:r>
        <w:rPr>
          <w:rFonts w:hint="eastAsia" w:ascii="仿宋" w:hAnsi="仿宋" w:eastAsia="仿宋" w:cs="仿宋"/>
          <w:sz w:val="32"/>
          <w:szCs w:val="32"/>
        </w:rPr>
        <w:t>实践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探索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提升研究生综合素质的实践探索。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培养方案、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改革方案、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新建课程、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实践效果总结、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分析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研究报告、公开发表文章等。</w:t>
      </w:r>
    </w:p>
    <w:p>
      <w:pPr>
        <w:pStyle w:val="11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zh-TW"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）毕业后教育及继续教育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全科医学</w:t>
      </w:r>
    </w:p>
    <w:p>
      <w:pPr>
        <w:pStyle w:val="11"/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全科医学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师资队伍教学能力现状和能力提升方案研究；</w:t>
      </w:r>
      <w:r>
        <w:rPr>
          <w:rFonts w:hint="eastAsia" w:ascii="仿宋" w:hAnsi="仿宋" w:eastAsia="仿宋" w:cs="仿宋"/>
          <w:sz w:val="32"/>
          <w:szCs w:val="32"/>
        </w:rPr>
        <w:t>基于岗位胜任能力的全科医生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培养</w:t>
      </w:r>
      <w:r>
        <w:rPr>
          <w:rFonts w:hint="eastAsia" w:ascii="仿宋" w:hAnsi="仿宋" w:eastAsia="仿宋" w:cs="仿宋"/>
          <w:sz w:val="32"/>
          <w:szCs w:val="32"/>
        </w:rPr>
        <w:t>模式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培训体系与培训效果评价研究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1"/>
        <w:numPr>
          <w:ilvl w:val="-1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成人学历教育</w:t>
      </w:r>
    </w:p>
    <w:p>
      <w:pPr>
        <w:pStyle w:val="11"/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课程建设（含课程思政）与教学改革研究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题库（含在线题库）建设研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究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。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非学历教育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项目开发需求与项目设计实施方案研究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全科医学与继续教育学院主责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标志性成果：研究报告、</w:t>
      </w:r>
      <w:r>
        <w:rPr>
          <w:rFonts w:ascii="仿宋" w:hAnsi="仿宋" w:eastAsia="仿宋" w:cs="仿宋"/>
          <w:sz w:val="32"/>
          <w:szCs w:val="32"/>
          <w:lang w:val="zh-CN"/>
        </w:rPr>
        <w:t>建设方案、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指标体系、教学文件</w:t>
      </w:r>
      <w:r>
        <w:rPr>
          <w:rFonts w:ascii="仿宋" w:hAnsi="仿宋" w:eastAsia="仿宋" w:cs="仿宋"/>
          <w:sz w:val="32"/>
          <w:szCs w:val="32"/>
          <w:highlight w:val="none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zh-CN"/>
        </w:rPr>
        <w:t>试题题库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公开发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表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文章等。</w:t>
      </w:r>
    </w:p>
    <w:p>
      <w:pPr>
        <w:pStyle w:val="11"/>
        <w:spacing w:line="360" w:lineRule="auto"/>
        <w:ind w:firstLine="640" w:firstLineChars="200"/>
        <w:rPr>
          <w:rFonts w:hint="eastAsia" w:ascii="楷体" w:hAnsi="楷体" w:eastAsia="楷体" w:cs="楷体"/>
          <w:sz w:val="32"/>
          <w:szCs w:val="32"/>
          <w:lang w:val="zh-TW" w:eastAsia="zh-TW"/>
        </w:rPr>
      </w:pP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）国际学生教育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ascii="仿宋" w:hAnsi="仿宋" w:eastAsia="仿宋" w:cs="仿宋"/>
          <w:sz w:val="32"/>
          <w:szCs w:val="32"/>
          <w:lang w:val="zh-CN" w:eastAsia="zh-TW"/>
        </w:rPr>
        <w:t>教育教学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</w:t>
      </w:r>
      <w:r>
        <w:rPr>
          <w:rFonts w:ascii="仿宋" w:hAnsi="仿宋" w:eastAsia="仿宋" w:cs="仿宋"/>
          <w:sz w:val="32"/>
          <w:szCs w:val="32"/>
          <w:lang w:val="zh-CN"/>
        </w:rPr>
        <w:t>英文授课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</w:p>
    <w:p>
      <w:pPr>
        <w:pStyle w:val="11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TW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主干课程英文试题题库建设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国际</w:t>
      </w:r>
      <w:r>
        <w:rPr>
          <w:rFonts w:ascii="仿宋" w:hAnsi="仿宋" w:eastAsia="仿宋" w:cs="仿宋"/>
          <w:sz w:val="32"/>
          <w:szCs w:val="32"/>
          <w:lang w:val="zh-CN"/>
        </w:rPr>
        <w:t>学生精品课程或品牌课程建设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国际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学生教学质量评价及质量保障研究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国际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学生教学内容和教学方法改革；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国际学生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汉语教学课程建设的研究</w:t>
      </w:r>
      <w:r>
        <w:rPr>
          <w:rFonts w:hint="eastAsia" w:ascii="仿宋" w:hAnsi="仿宋" w:eastAsia="仿宋" w:cs="仿宋"/>
          <w:sz w:val="32"/>
          <w:szCs w:val="32"/>
          <w:lang w:val="zh-TW"/>
        </w:rPr>
        <w:t>；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英文原版教材引进与运用研究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</w:t>
      </w:r>
    </w:p>
    <w:p>
      <w:pPr>
        <w:pStyle w:val="11"/>
        <w:spacing w:line="360" w:lineRule="auto"/>
        <w:ind w:firstLine="560"/>
        <w:rPr>
          <w:rFonts w:ascii="仿宋" w:hAnsi="仿宋" w:eastAsia="仿宋" w:cs="仿宋"/>
          <w:sz w:val="32"/>
          <w:szCs w:val="32"/>
          <w:lang w:val="zh-CN" w:eastAsia="zh-TW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  <w:lang w:val="zh-CN" w:eastAsia="zh-TW"/>
        </w:rPr>
        <w:t>教育管理</w:t>
      </w:r>
    </w:p>
    <w:p>
      <w:pPr>
        <w:pStyle w:val="11"/>
        <w:spacing w:line="360" w:lineRule="auto"/>
        <w:ind w:firstLine="560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ascii="仿宋" w:hAnsi="仿宋" w:eastAsia="仿宋" w:cs="仿宋"/>
          <w:sz w:val="32"/>
          <w:szCs w:val="32"/>
          <w:lang w:val="zh-CN" w:eastAsia="zh-TW"/>
        </w:rPr>
        <w:t>：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国际学生生源质量评价及录取标准研究；国际学生“读懂中国”“讲好中国故事”的中国国情教育策略与实施路径研究；国际学生法治教育路径研究；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国际</w:t>
      </w:r>
      <w:r>
        <w:rPr>
          <w:rFonts w:ascii="仿宋" w:hAnsi="仿宋" w:eastAsia="仿宋" w:cs="仿宋"/>
          <w:sz w:val="32"/>
          <w:szCs w:val="32"/>
          <w:lang w:val="zh-CN"/>
        </w:rPr>
        <w:t>学生人才培养模式改革的探索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。</w:t>
      </w:r>
    </w:p>
    <w:p>
      <w:pPr>
        <w:pStyle w:val="11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CN"/>
        </w:rPr>
        <w:t>标志性成果：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全英文试题库</w:t>
      </w:r>
      <w:r>
        <w:rPr>
          <w:rFonts w:ascii="仿宋" w:hAnsi="仿宋" w:eastAsia="仿宋" w:cs="仿宋"/>
          <w:sz w:val="32"/>
          <w:szCs w:val="32"/>
          <w:lang w:val="zh-CN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课程设计方案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研究报告</w:t>
      </w:r>
      <w:r>
        <w:rPr>
          <w:rFonts w:hint="eastAsia" w:ascii="仿宋" w:hAnsi="仿宋" w:eastAsia="仿宋" w:cs="仿宋"/>
          <w:sz w:val="32"/>
          <w:szCs w:val="32"/>
          <w:lang w:val="zh-TW" w:eastAsia="zh-TW"/>
        </w:rPr>
        <w:t>、</w:t>
      </w:r>
      <w:r>
        <w:rPr>
          <w:rFonts w:ascii="仿宋" w:hAnsi="仿宋" w:eastAsia="仿宋" w:cs="仿宋"/>
          <w:sz w:val="32"/>
          <w:szCs w:val="32"/>
          <w:lang w:val="zh-CN"/>
        </w:rPr>
        <w:t>建设方案、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指标体系、教学文件</w:t>
      </w:r>
      <w:r>
        <w:rPr>
          <w:rFonts w:ascii="仿宋" w:hAnsi="仿宋" w:eastAsia="仿宋" w:cs="仿宋"/>
          <w:sz w:val="32"/>
          <w:szCs w:val="32"/>
          <w:lang w:val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公开发布的</w:t>
      </w:r>
      <w:r>
        <w:rPr>
          <w:rFonts w:ascii="仿宋" w:hAnsi="仿宋" w:eastAsia="仿宋" w:cs="仿宋"/>
          <w:sz w:val="32"/>
          <w:szCs w:val="32"/>
          <w:lang w:val="zh-CN"/>
        </w:rPr>
        <w:t>论文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</w:t>
      </w:r>
      <w:r>
        <w:rPr>
          <w:rFonts w:ascii="仿宋" w:hAnsi="仿宋" w:eastAsia="仿宋" w:cs="仿宋"/>
          <w:sz w:val="32"/>
          <w:szCs w:val="32"/>
          <w:lang w:val="zh-CN"/>
        </w:rPr>
        <w:t>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（五）其他</w:t>
      </w:r>
      <w:r>
        <w:rPr>
          <w:rFonts w:hint="eastAsia" w:ascii="楷体" w:hAnsi="楷体" w:eastAsia="楷体" w:cs="楷体"/>
          <w:sz w:val="32"/>
          <w:szCs w:val="32"/>
          <w:lang w:val="zh-TW" w:eastAsia="zh-TW"/>
        </w:rPr>
        <w:t>课题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TW" w:eastAsia="zh-TW"/>
        </w:rPr>
        <w:t>标志性成果：实证研究报告、制度方案、公开发表文章等。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zh-TW" w:eastAsia="zh-TW"/>
        </w:rPr>
      </w:pP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三、专项课题</w:t>
      </w:r>
    </w:p>
    <w:p>
      <w:pPr>
        <w:pStyle w:val="11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MingLiU" w:cs="仿宋"/>
          <w:sz w:val="32"/>
          <w:szCs w:val="32"/>
          <w:lang w:val="zh-TW" w:eastAsia="zh-TW"/>
        </w:rPr>
      </w:pPr>
      <w:r>
        <w:rPr>
          <w:rFonts w:ascii="仿宋" w:hAnsi="仿宋" w:eastAsia="仿宋" w:cs="仿宋"/>
          <w:sz w:val="32"/>
          <w:szCs w:val="32"/>
          <w:lang w:val="zh-CN"/>
        </w:rPr>
        <w:t>本年度专项课题为202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年申报北京市教育科学规划课题</w:t>
      </w:r>
      <w:r>
        <w:rPr>
          <w:rFonts w:hint="eastAsia" w:ascii="仿宋" w:hAnsi="仿宋" w:eastAsia="仿宋" w:cs="仿宋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中华医学会教育分会课题、北京高等教育学会课题等局级以上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未能入选，</w:t>
      </w:r>
      <w:r>
        <w:rPr>
          <w:rFonts w:ascii="仿宋" w:hAnsi="仿宋" w:eastAsia="仿宋" w:cs="仿宋"/>
          <w:sz w:val="32"/>
          <w:szCs w:val="32"/>
          <w:lang w:val="zh-CN"/>
        </w:rPr>
        <w:t>经过学校评审可以立项的课题，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课题周期</w:t>
      </w:r>
      <w:r>
        <w:rPr>
          <w:rFonts w:hint="eastAsia" w:ascii="仿宋" w:hAnsi="仿宋" w:eastAsia="仿宋" w:cs="仿宋"/>
          <w:sz w:val="32"/>
          <w:szCs w:val="32"/>
        </w:rPr>
        <w:t>两</w:t>
      </w:r>
      <w:r>
        <w:rPr>
          <w:rFonts w:ascii="仿宋" w:hAnsi="仿宋" w:eastAsia="仿宋" w:cs="仿宋"/>
          <w:sz w:val="32"/>
          <w:szCs w:val="32"/>
          <w:lang w:val="zh-TW" w:eastAsia="zh-TW"/>
        </w:rPr>
        <w:t>年，课题经费由学校教务处直接下拨至课题负责人所在学院。</w:t>
      </w:r>
    </w:p>
    <w:p>
      <w:pPr>
        <w:pStyle w:val="11"/>
        <w:spacing w:line="360" w:lineRule="auto"/>
        <w:ind w:firstLine="560"/>
        <w:rPr>
          <w:rFonts w:eastAsiaTheme="minorEastAsia"/>
          <w:sz w:val="32"/>
          <w:szCs w:val="32"/>
        </w:rPr>
      </w:pPr>
    </w:p>
    <w:p>
      <w:pPr>
        <w:pStyle w:val="11"/>
        <w:spacing w:line="360" w:lineRule="auto"/>
        <w:ind w:firstLine="560"/>
        <w:rPr>
          <w:rFonts w:eastAsiaTheme="minorEastAsia"/>
          <w:sz w:val="32"/>
          <w:szCs w:val="32"/>
        </w:rPr>
      </w:pPr>
    </w:p>
    <w:p>
      <w:pPr>
        <w:pStyle w:val="11"/>
        <w:spacing w:line="360" w:lineRule="auto"/>
        <w:ind w:firstLine="560"/>
        <w:rPr>
          <w:rFonts w:hint="default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Tc4YjM5NjkzMmEwNDk3YjkxMTZkNTFkMjg3OTYifQ=="/>
  </w:docVars>
  <w:rsids>
    <w:rsidRoot w:val="005E2701"/>
    <w:rsid w:val="00021A65"/>
    <w:rsid w:val="00045B3D"/>
    <w:rsid w:val="0008761C"/>
    <w:rsid w:val="000D661C"/>
    <w:rsid w:val="000F6227"/>
    <w:rsid w:val="00195B29"/>
    <w:rsid w:val="001D7971"/>
    <w:rsid w:val="0024706F"/>
    <w:rsid w:val="00277791"/>
    <w:rsid w:val="002D6C4F"/>
    <w:rsid w:val="00372E1D"/>
    <w:rsid w:val="0039602E"/>
    <w:rsid w:val="003E0477"/>
    <w:rsid w:val="0040170D"/>
    <w:rsid w:val="00424220"/>
    <w:rsid w:val="00467962"/>
    <w:rsid w:val="005606FB"/>
    <w:rsid w:val="00562FBD"/>
    <w:rsid w:val="005661DE"/>
    <w:rsid w:val="005A1740"/>
    <w:rsid w:val="005E2701"/>
    <w:rsid w:val="00616999"/>
    <w:rsid w:val="006C073C"/>
    <w:rsid w:val="0076470C"/>
    <w:rsid w:val="007B3D87"/>
    <w:rsid w:val="00811786"/>
    <w:rsid w:val="00816715"/>
    <w:rsid w:val="00877FCF"/>
    <w:rsid w:val="0088718F"/>
    <w:rsid w:val="0089456C"/>
    <w:rsid w:val="008A6174"/>
    <w:rsid w:val="00973641"/>
    <w:rsid w:val="00A123A8"/>
    <w:rsid w:val="00A5482A"/>
    <w:rsid w:val="00AA2D7A"/>
    <w:rsid w:val="00C0777C"/>
    <w:rsid w:val="00C6503B"/>
    <w:rsid w:val="00CF7121"/>
    <w:rsid w:val="00D80BED"/>
    <w:rsid w:val="00EF38C4"/>
    <w:rsid w:val="00F31BD2"/>
    <w:rsid w:val="0280569C"/>
    <w:rsid w:val="03AB4599"/>
    <w:rsid w:val="04954F19"/>
    <w:rsid w:val="0D2658A2"/>
    <w:rsid w:val="14963B4E"/>
    <w:rsid w:val="17A636E2"/>
    <w:rsid w:val="1A2A21BB"/>
    <w:rsid w:val="1A337068"/>
    <w:rsid w:val="1A474F92"/>
    <w:rsid w:val="1BC7354C"/>
    <w:rsid w:val="1D7768AC"/>
    <w:rsid w:val="208A2D9A"/>
    <w:rsid w:val="212C1DD7"/>
    <w:rsid w:val="22C90107"/>
    <w:rsid w:val="25FD0B89"/>
    <w:rsid w:val="28FE03AF"/>
    <w:rsid w:val="2C003F6B"/>
    <w:rsid w:val="2EF40DA2"/>
    <w:rsid w:val="30517430"/>
    <w:rsid w:val="30B964DD"/>
    <w:rsid w:val="31132938"/>
    <w:rsid w:val="34164C19"/>
    <w:rsid w:val="34943D90"/>
    <w:rsid w:val="37620175"/>
    <w:rsid w:val="382530CF"/>
    <w:rsid w:val="39C649EB"/>
    <w:rsid w:val="3B095E79"/>
    <w:rsid w:val="3C8D7A42"/>
    <w:rsid w:val="402E41C5"/>
    <w:rsid w:val="42097B6B"/>
    <w:rsid w:val="45760DA5"/>
    <w:rsid w:val="45FF1AC6"/>
    <w:rsid w:val="47772BE9"/>
    <w:rsid w:val="4D111855"/>
    <w:rsid w:val="51D55292"/>
    <w:rsid w:val="545F361A"/>
    <w:rsid w:val="58961E66"/>
    <w:rsid w:val="5ABE7224"/>
    <w:rsid w:val="5B5F3628"/>
    <w:rsid w:val="5EBC7241"/>
    <w:rsid w:val="5FF23D84"/>
    <w:rsid w:val="60BE0603"/>
    <w:rsid w:val="628A221D"/>
    <w:rsid w:val="66EF4CD2"/>
    <w:rsid w:val="6730255B"/>
    <w:rsid w:val="6CD97A1A"/>
    <w:rsid w:val="6D2F16A8"/>
    <w:rsid w:val="714C185B"/>
    <w:rsid w:val="723D2D95"/>
    <w:rsid w:val="73292F12"/>
    <w:rsid w:val="7942399B"/>
    <w:rsid w:val="79E85CDC"/>
    <w:rsid w:val="79F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u w:val="single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autoRedefine/>
    <w:qFormat/>
    <w:uiPriority w:val="0"/>
    <w:pPr>
      <w:tabs>
        <w:tab w:val="right" w:pos="9020"/>
      </w:tabs>
    </w:pPr>
    <w:rPr>
      <w:rFonts w:ascii="Songti SC Regular" w:hAnsi="Songti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字符"/>
    <w:basedOn w:val="7"/>
    <w:link w:val="4"/>
    <w:autoRedefine/>
    <w:qFormat/>
    <w:uiPriority w:val="99"/>
    <w:rPr>
      <w:sz w:val="18"/>
      <w:szCs w:val="18"/>
      <w:lang w:eastAsia="en-US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sz w:val="18"/>
      <w:szCs w:val="18"/>
      <w:lang w:eastAsia="en-US"/>
    </w:rPr>
  </w:style>
  <w:style w:type="paragraph" w:customStyle="1" w:styleId="14">
    <w:name w:val="修订1"/>
    <w:autoRedefine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customStyle="1" w:styleId="15">
    <w:name w:val="修订2"/>
    <w:autoRedefine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customStyle="1" w:styleId="16">
    <w:name w:val="修订3"/>
    <w:autoRedefine/>
    <w:hidden/>
    <w:semiHidden/>
    <w:qFormat/>
    <w:uiPriority w:val="99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17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Songti SC Bold"/>
        <a:ea typeface="黑体"/>
        <a:cs typeface="Songti SC Bold"/>
      </a:majorFont>
      <a:minorFont>
        <a:latin typeface="Songti SC Regular"/>
        <a:ea typeface="宋体"/>
        <a:cs typeface="Songti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474</Words>
  <Characters>2705</Characters>
  <Lines>22</Lines>
  <Paragraphs>6</Paragraphs>
  <TotalTime>27</TotalTime>
  <ScaleCrop>false</ScaleCrop>
  <LinksUpToDate>false</LinksUpToDate>
  <CharactersWithSpaces>3173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2023-12-26T07:34:00Z</dcterms:created>
  <dc:creator>Dell</dc:creator>
  <cp:lastModifiedBy>jw</cp:lastModifiedBy>
  <cp:lastPrinted>2022-01-10T01:14:00Z</cp:lastPrinted>
  <dcterms:modified xsi:type="dcterms:W3CDTF">2024-02-29T00:59:13Z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1F858C4EDB4748C38D686B6CF61A6C05_13</vt:lpwstr>
  </property>
</Properties>
</file>